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3DA6EC" w14:textId="3D05EC74" w:rsidR="00F20E93" w:rsidRPr="000263E1" w:rsidRDefault="00F20E93" w:rsidP="00F20E93">
      <w:pPr>
        <w:pStyle w:val="Header"/>
        <w:tabs>
          <w:tab w:val="left" w:pos="8280"/>
        </w:tabs>
        <w:spacing w:line="280" w:lineRule="exact"/>
        <w:jc w:val="both"/>
        <w:rPr>
          <w:rFonts w:ascii="Calibri" w:eastAsia="新細明體" w:hAnsi="Calibri" w:cs="Calibri"/>
          <w:sz w:val="24"/>
          <w:szCs w:val="24"/>
          <w:highlight w:val="yellow"/>
          <w:lang w:eastAsia="ja-JP"/>
        </w:rPr>
      </w:pPr>
      <w:r w:rsidRPr="000263E1">
        <w:rPr>
          <w:rFonts w:ascii="Calibri" w:eastAsia="新細明體" w:hAnsi="Calibri" w:cs="Calibri"/>
          <w:sz w:val="24"/>
          <w:szCs w:val="24"/>
          <w:lang w:eastAsia="ja-JP"/>
        </w:rPr>
        <w:t xml:space="preserve">3GPP TSG-RAN WG4 Meeting #92bis                       </w:t>
      </w:r>
      <w:r w:rsidRPr="000263E1">
        <w:rPr>
          <w:rFonts w:ascii="Calibri" w:eastAsia="新細明體" w:hAnsi="Calibri" w:cs="Calibri"/>
          <w:sz w:val="24"/>
          <w:szCs w:val="24"/>
          <w:lang w:eastAsia="ja-JP"/>
        </w:rPr>
        <w:tab/>
        <w:t xml:space="preserve"> </w:t>
      </w:r>
      <w:r w:rsidR="00100AAE" w:rsidRPr="00100AAE">
        <w:rPr>
          <w:rFonts w:ascii="Calibri" w:eastAsia="新細明體" w:hAnsi="Calibri" w:cs="Calibri"/>
          <w:sz w:val="24"/>
          <w:szCs w:val="24"/>
          <w:lang w:eastAsia="ja-JP"/>
        </w:rPr>
        <w:t>R4-1910825</w:t>
      </w:r>
    </w:p>
    <w:p w14:paraId="01532F40" w14:textId="6F4868AA" w:rsidR="00F20E93" w:rsidRPr="002D6DD1" w:rsidRDefault="00F20E93" w:rsidP="00F20E93">
      <w:pPr>
        <w:pStyle w:val="CRCoverPage"/>
        <w:outlineLvl w:val="0"/>
        <w:rPr>
          <w:rFonts w:ascii="Calibri" w:eastAsia="新細明體" w:hAnsi="Calibri"/>
          <w:sz w:val="24"/>
          <w:highlight w:val="yellow"/>
          <w:lang w:eastAsia="zh-TW"/>
        </w:rPr>
      </w:pPr>
      <w:r w:rsidRPr="00920FFE">
        <w:rPr>
          <w:rFonts w:ascii="Calibri" w:eastAsia="新細明體" w:hAnsi="Calibri" w:cs="Calibri"/>
          <w:b/>
          <w:sz w:val="24"/>
          <w:szCs w:val="24"/>
          <w:lang w:eastAsia="ja-JP"/>
        </w:rPr>
        <w:t>C</w:t>
      </w:r>
      <w:r w:rsidRPr="00920FFE">
        <w:rPr>
          <w:rFonts w:ascii="Calibri" w:eastAsia="新細明體" w:hAnsi="Calibri" w:cs="Calibri" w:hint="eastAsia"/>
          <w:b/>
          <w:sz w:val="24"/>
          <w:szCs w:val="24"/>
          <w:lang w:eastAsia="ja-JP"/>
        </w:rPr>
        <w:t>hongqing</w:t>
      </w:r>
      <w:r w:rsidRPr="00920FFE">
        <w:rPr>
          <w:rFonts w:ascii="Calibri" w:eastAsia="新細明體" w:hAnsi="Calibri" w:cs="Calibri"/>
          <w:b/>
          <w:sz w:val="24"/>
          <w:szCs w:val="24"/>
          <w:lang w:eastAsia="ja-JP"/>
        </w:rPr>
        <w:t xml:space="preserve">, China, 14th - 18th Oct, 2019 </w:t>
      </w:r>
    </w:p>
    <w:p w14:paraId="1CAD8A83" w14:textId="01875FC0"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F20E93">
        <w:rPr>
          <w:rFonts w:cs="Arial"/>
          <w:b/>
          <w:bCs/>
        </w:rPr>
        <w:t>8</w:t>
      </w:r>
      <w:r w:rsidR="001E7AC0">
        <w:rPr>
          <w:rFonts w:cs="Arial"/>
          <w:b/>
          <w:bCs/>
        </w:rPr>
        <w:t>.</w:t>
      </w:r>
      <w:r w:rsidR="00FD1B9A">
        <w:rPr>
          <w:rFonts w:cs="Arial"/>
          <w:b/>
          <w:bCs/>
        </w:rPr>
        <w:t>1</w:t>
      </w:r>
      <w:r w:rsidR="00F20E93">
        <w:rPr>
          <w:rFonts w:cs="Arial"/>
          <w:b/>
          <w:bCs/>
        </w:rPr>
        <w:t>7</w:t>
      </w:r>
      <w:r w:rsidR="007D4F35">
        <w:rPr>
          <w:rFonts w:cs="Arial"/>
          <w:b/>
          <w:bCs/>
        </w:rPr>
        <w:t>.1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5371B495" w:rsidR="00174EC2" w:rsidRDefault="0034111C" w:rsidP="007A4FCF">
      <w:pPr>
        <w:ind w:left="1985" w:hanging="1985"/>
        <w:rPr>
          <w:rFonts w:cs="Arial"/>
          <w:b/>
          <w:bCs/>
        </w:rPr>
      </w:pPr>
      <w:r w:rsidRPr="000C45FD">
        <w:rPr>
          <w:rFonts w:cs="Arial"/>
          <w:b/>
          <w:bCs/>
        </w:rPr>
        <w:t>Title:</w:t>
      </w:r>
      <w:r w:rsidRPr="000C45FD">
        <w:rPr>
          <w:rFonts w:cs="Arial"/>
          <w:b/>
          <w:bCs/>
        </w:rPr>
        <w:tab/>
      </w:r>
      <w:r w:rsidR="00C26262" w:rsidRPr="00C26262">
        <w:rPr>
          <w:rFonts w:cs="Arial"/>
          <w:b/>
          <w:bCs/>
        </w:rPr>
        <w:t xml:space="preserve">Beam management in HST with DPS transmission </w:t>
      </w:r>
      <w:r w:rsidR="00875271">
        <w:rPr>
          <w:rFonts w:cs="Arial"/>
          <w:b/>
          <w:bCs/>
        </w:rPr>
        <w:t>scheme</w:t>
      </w:r>
      <w:r w:rsidR="00967F64">
        <w:rPr>
          <w:rFonts w:cs="Arial"/>
          <w:b/>
          <w:bCs/>
        </w:rPr>
        <w:t xml:space="preserve"> </w:t>
      </w:r>
    </w:p>
    <w:p w14:paraId="6F580D61" w14:textId="7E89CFF8"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4C0DDC">
        <w:rPr>
          <w:rFonts w:cs="Arial"/>
          <w:b/>
          <w:bCs/>
        </w:rPr>
        <w:t>Information</w:t>
      </w:r>
    </w:p>
    <w:p w14:paraId="20062393" w14:textId="77777777" w:rsidR="0034111C" w:rsidRPr="000C45FD" w:rsidRDefault="0034111C" w:rsidP="0012659B">
      <w:pPr>
        <w:pStyle w:val="Heading1"/>
        <w:numPr>
          <w:ilvl w:val="0"/>
          <w:numId w:val="1"/>
        </w:numPr>
        <w:rPr>
          <w:rFonts w:ascii="Calibri" w:hAnsi="Calibri"/>
          <w:lang w:eastAsia="zh-CN"/>
        </w:rPr>
      </w:pPr>
      <w:r w:rsidRPr="000C45FD">
        <w:rPr>
          <w:rFonts w:ascii="Calibri" w:hAnsi="Calibri"/>
        </w:rPr>
        <w:tab/>
      </w:r>
      <w:r w:rsidR="00EE7FA7" w:rsidRPr="000C45FD">
        <w:rPr>
          <w:rFonts w:ascii="Calibri" w:hAnsi="Calibri"/>
        </w:rPr>
        <w:t>Introduction</w:t>
      </w:r>
    </w:p>
    <w:p w14:paraId="4C298C20" w14:textId="496491F6" w:rsidR="00875271" w:rsidRDefault="00DD4B58" w:rsidP="007A456D">
      <w:pPr>
        <w:jc w:val="both"/>
      </w:pPr>
      <w:r>
        <w:t xml:space="preserve">In </w:t>
      </w:r>
      <w:r w:rsidR="00DB2B61">
        <w:t>RAN#84</w:t>
      </w:r>
      <w:r>
        <w:t xml:space="preserve"> meeting,</w:t>
      </w:r>
      <w:r w:rsidR="00DB2B61">
        <w:t xml:space="preserve"> the WI for </w:t>
      </w:r>
      <w:r w:rsidR="001263EF">
        <w:t>NR HST</w:t>
      </w:r>
      <w:r w:rsidR="00DB2B61">
        <w:t xml:space="preserve"> was </w:t>
      </w:r>
      <w:r w:rsidR="001263EF">
        <w:t>agreed</w:t>
      </w:r>
      <w:r w:rsidR="00DB2B61">
        <w:t xml:space="preserve"> [1]</w:t>
      </w:r>
      <w:r>
        <w:t xml:space="preserve">. </w:t>
      </w:r>
      <w:r w:rsidR="00875271">
        <w:t xml:space="preserve">In last RAN4 meeting, there was discussion about transmission scheme. In the ad hoc meeting minutes [2], 3 options </w:t>
      </w:r>
      <w:r w:rsidR="00EF47B0">
        <w:t>were listed</w:t>
      </w:r>
      <w:r w:rsidR="00D10FE4">
        <w:t>.</w:t>
      </w:r>
    </w:p>
    <w:tbl>
      <w:tblPr>
        <w:tblStyle w:val="TableGrid"/>
        <w:tblW w:w="0" w:type="auto"/>
        <w:tblInd w:w="284" w:type="dxa"/>
        <w:tblLook w:val="04A0" w:firstRow="1" w:lastRow="0" w:firstColumn="1" w:lastColumn="0" w:noHBand="0" w:noVBand="1"/>
      </w:tblPr>
      <w:tblGrid>
        <w:gridCol w:w="9345"/>
      </w:tblGrid>
      <w:tr w:rsidR="00EF47B0" w14:paraId="2C0AECFA" w14:textId="77777777" w:rsidTr="00EF47B0">
        <w:tc>
          <w:tcPr>
            <w:tcW w:w="9629" w:type="dxa"/>
          </w:tcPr>
          <w:p w14:paraId="3C0DC7D2" w14:textId="77777777" w:rsidR="00EF47B0" w:rsidRPr="000C183E" w:rsidRDefault="00EF47B0" w:rsidP="00EF47B0">
            <w:pPr>
              <w:spacing w:after="120" w:line="240" w:lineRule="exact"/>
              <w:rPr>
                <w:noProof/>
              </w:rPr>
            </w:pPr>
            <w:r>
              <w:rPr>
                <w:rFonts w:hint="eastAsia"/>
                <w:noProof/>
              </w:rPr>
              <w:t>Option 1:</w:t>
            </w:r>
            <w:r w:rsidRPr="000C183E">
              <w:rPr>
                <w:noProof/>
              </w:rPr>
              <w:t xml:space="preserve"> </w:t>
            </w:r>
            <w:r w:rsidRPr="00E43B03">
              <w:rPr>
                <w:noProof/>
              </w:rPr>
              <w:t>HST-SFN with joint transmission</w:t>
            </w:r>
            <w:r>
              <w:rPr>
                <w:rFonts w:hint="eastAsia"/>
                <w:noProof/>
              </w:rPr>
              <w:t xml:space="preserve"> </w:t>
            </w:r>
            <w:r w:rsidRPr="00E43B03">
              <w:rPr>
                <w:noProof/>
              </w:rPr>
              <w:t>(CMCC, Intel, Huawei)</w:t>
            </w:r>
          </w:p>
          <w:p w14:paraId="77B78F90" w14:textId="77777777" w:rsidR="00EF47B0" w:rsidRDefault="00EF47B0" w:rsidP="00EF47B0">
            <w:pPr>
              <w:spacing w:after="120" w:line="240" w:lineRule="exact"/>
              <w:rPr>
                <w:noProof/>
              </w:rPr>
            </w:pPr>
            <w:r>
              <w:rPr>
                <w:rFonts w:hint="eastAsia"/>
                <w:noProof/>
              </w:rPr>
              <w:t xml:space="preserve">Option 2: HST-SFN with DPS transmission </w:t>
            </w:r>
            <w:r w:rsidRPr="00E43B03">
              <w:rPr>
                <w:noProof/>
              </w:rPr>
              <w:t>(CMCC, Huawei)</w:t>
            </w:r>
          </w:p>
          <w:p w14:paraId="679A786D" w14:textId="4CD66AA6" w:rsidR="00EF47B0" w:rsidRPr="00EF47B0" w:rsidRDefault="00EF47B0" w:rsidP="00EF47B0">
            <w:pPr>
              <w:spacing w:after="120"/>
              <w:jc w:val="both"/>
              <w:rPr>
                <w:b/>
                <w:lang w:bidi="hi-IN"/>
              </w:rPr>
            </w:pPr>
            <w:r w:rsidRPr="00652E62">
              <w:rPr>
                <w:rFonts w:hint="eastAsia"/>
                <w:noProof/>
              </w:rPr>
              <w:t xml:space="preserve">Option 3: </w:t>
            </w:r>
            <w:r w:rsidRPr="00652E62">
              <w:rPr>
                <w:noProof/>
              </w:rPr>
              <w:t>Non-SFN RS transmission (non-SFN DMRS transmission and SFN PDSCH transmission)</w:t>
            </w:r>
            <w:r>
              <w:rPr>
                <w:rFonts w:hint="eastAsia"/>
                <w:noProof/>
              </w:rPr>
              <w:t xml:space="preserve"> (Intel)</w:t>
            </w:r>
          </w:p>
        </w:tc>
      </w:tr>
    </w:tbl>
    <w:p w14:paraId="58C6406A" w14:textId="05F7B4EE" w:rsidR="00EF47B0" w:rsidRDefault="00EF47B0" w:rsidP="00EF47B0">
      <w:pPr>
        <w:jc w:val="both"/>
      </w:pPr>
      <w:r>
        <w:t>Also, agreements were achieved as below.</w:t>
      </w:r>
    </w:p>
    <w:tbl>
      <w:tblPr>
        <w:tblStyle w:val="TableGrid"/>
        <w:tblW w:w="0" w:type="auto"/>
        <w:tblInd w:w="284" w:type="dxa"/>
        <w:tblLook w:val="04A0" w:firstRow="1" w:lastRow="0" w:firstColumn="1" w:lastColumn="0" w:noHBand="0" w:noVBand="1"/>
      </w:tblPr>
      <w:tblGrid>
        <w:gridCol w:w="9345"/>
      </w:tblGrid>
      <w:tr w:rsidR="00EF47B0" w14:paraId="6C338144" w14:textId="77777777" w:rsidTr="00EF47B0">
        <w:tc>
          <w:tcPr>
            <w:tcW w:w="9629" w:type="dxa"/>
          </w:tcPr>
          <w:p w14:paraId="21AE2588" w14:textId="77777777" w:rsidR="00EF47B0" w:rsidRPr="00BF6D1A" w:rsidRDefault="00EF47B0" w:rsidP="00EF47B0">
            <w:pPr>
              <w:spacing w:after="120"/>
              <w:rPr>
                <w:b/>
                <w:highlight w:val="green"/>
                <w:u w:val="single"/>
              </w:rPr>
            </w:pPr>
            <w:r w:rsidRPr="00BF6D1A">
              <w:rPr>
                <w:rFonts w:hint="eastAsia"/>
                <w:b/>
                <w:highlight w:val="green"/>
                <w:u w:val="single"/>
              </w:rPr>
              <w:t>Agreement</w:t>
            </w:r>
          </w:p>
          <w:p w14:paraId="30E2A4AE" w14:textId="77777777" w:rsidR="00EF47B0" w:rsidRDefault="00EF47B0" w:rsidP="00EF47B0">
            <w:pPr>
              <w:spacing w:after="120"/>
              <w:rPr>
                <w:b/>
                <w:u w:val="single"/>
              </w:rPr>
            </w:pPr>
            <w:r w:rsidRPr="00BF6D1A">
              <w:rPr>
                <w:rFonts w:hint="eastAsia"/>
                <w:highlight w:val="green"/>
              </w:rPr>
              <w:t>Focus on Rel-15 RAN1 physical layer design in this WI first. Rel-16 RAN1 design can be discussed later.</w:t>
            </w:r>
          </w:p>
          <w:p w14:paraId="01D46BA0" w14:textId="77777777" w:rsidR="00EF47B0" w:rsidRDefault="00EF47B0" w:rsidP="00EF47B0">
            <w:pPr>
              <w:spacing w:after="120" w:line="240" w:lineRule="exact"/>
              <w:rPr>
                <w:noProof/>
              </w:rPr>
            </w:pPr>
            <w:r w:rsidRPr="00BF6D1A">
              <w:rPr>
                <w:noProof/>
                <w:highlight w:val="green"/>
              </w:rPr>
              <w:t>HST-SFN with joint transmission</w:t>
            </w:r>
            <w:r w:rsidRPr="00BF6D1A">
              <w:rPr>
                <w:rFonts w:hint="eastAsia"/>
                <w:noProof/>
                <w:highlight w:val="green"/>
              </w:rPr>
              <w:t>.</w:t>
            </w:r>
            <w:r>
              <w:rPr>
                <w:rFonts w:hint="eastAsia"/>
                <w:noProof/>
              </w:rPr>
              <w:t xml:space="preserve"> </w:t>
            </w:r>
          </w:p>
          <w:p w14:paraId="0BA8F7B5" w14:textId="7FFD2C5A" w:rsidR="00EF47B0" w:rsidRDefault="00EF47B0" w:rsidP="00EF47B0">
            <w:pPr>
              <w:spacing w:after="120" w:line="240" w:lineRule="exact"/>
              <w:rPr>
                <w:noProof/>
              </w:rPr>
            </w:pPr>
            <w:r w:rsidRPr="00BF6D1A">
              <w:rPr>
                <w:rFonts w:hint="eastAsia"/>
                <w:noProof/>
                <w:highlight w:val="green"/>
              </w:rPr>
              <w:t>Study the feasibility</w:t>
            </w:r>
            <w:r>
              <w:rPr>
                <w:rFonts w:hint="eastAsia"/>
                <w:noProof/>
                <w:highlight w:val="green"/>
              </w:rPr>
              <w:t xml:space="preserve"> and performance benefits</w:t>
            </w:r>
            <w:r w:rsidRPr="00BF6D1A">
              <w:rPr>
                <w:rFonts w:hint="eastAsia"/>
                <w:noProof/>
                <w:highlight w:val="green"/>
              </w:rPr>
              <w:t xml:space="preserve"> for HST-SFN with DPS transmission</w:t>
            </w:r>
          </w:p>
        </w:tc>
      </w:tr>
    </w:tbl>
    <w:p w14:paraId="628C59DC" w14:textId="037364AC" w:rsidR="00EF47B0" w:rsidRPr="004E18AC" w:rsidRDefault="00EF47B0" w:rsidP="00742A05">
      <w:pPr>
        <w:jc w:val="both"/>
      </w:pPr>
      <w:r>
        <w:t xml:space="preserve">Motivated by the last agreement, this paper discusses the feasibility of HST-SFN with DPS transmission from the aspect of beam management. </w:t>
      </w:r>
    </w:p>
    <w:p w14:paraId="3D60433C" w14:textId="440C191E" w:rsidR="00EF47B0" w:rsidRPr="000C45FD" w:rsidRDefault="00EF47B0" w:rsidP="0012659B">
      <w:pPr>
        <w:pStyle w:val="Heading1"/>
        <w:numPr>
          <w:ilvl w:val="0"/>
          <w:numId w:val="1"/>
        </w:numPr>
        <w:rPr>
          <w:rFonts w:ascii="Calibri" w:hAnsi="Calibri"/>
          <w:lang w:eastAsia="zh-CN"/>
        </w:rPr>
      </w:pPr>
      <w:r>
        <w:rPr>
          <w:rFonts w:ascii="Calibri" w:hAnsi="Calibri"/>
        </w:rPr>
        <w:t>Discussion</w:t>
      </w:r>
    </w:p>
    <w:p w14:paraId="34C1BE52" w14:textId="5502F5D3" w:rsidR="00B417D0" w:rsidRDefault="00742A05" w:rsidP="00EF47B0">
      <w:pPr>
        <w:adjustRightInd w:val="0"/>
        <w:snapToGrid w:val="0"/>
        <w:spacing w:before="180" w:after="120"/>
        <w:jc w:val="both"/>
      </w:pPr>
      <w:r>
        <w:t xml:space="preserve">There are many variations for DPS transmission scheme. In this paper, we focus on the case shown in </w:t>
      </w:r>
      <w:r>
        <w:fldChar w:fldCharType="begin"/>
      </w:r>
      <w:r>
        <w:instrText xml:space="preserve"> REF _Ref20680290 \h </w:instrText>
      </w:r>
      <w:r>
        <w:fldChar w:fldCharType="separate"/>
      </w:r>
      <w:r w:rsidR="005965B1">
        <w:t xml:space="preserve">Figure </w:t>
      </w:r>
      <w:r w:rsidR="005965B1">
        <w:rPr>
          <w:noProof/>
        </w:rPr>
        <w:t>1</w:t>
      </w:r>
      <w:r>
        <w:fldChar w:fldCharType="end"/>
      </w:r>
      <w:r>
        <w:t xml:space="preserve">. </w:t>
      </w:r>
      <w:r w:rsidR="00404A78">
        <w:t xml:space="preserve">The detail channel models are provided in our companion paper [2]. </w:t>
      </w:r>
      <w:r w:rsidR="00D10FE4">
        <w:t>The conclusion</w:t>
      </w:r>
      <w:r w:rsidR="00E94255">
        <w:t>s</w:t>
      </w:r>
      <w:r w:rsidR="00D10FE4">
        <w:t xml:space="preserve"> of this paper is generic and can be extended to other variations. </w:t>
      </w:r>
    </w:p>
    <w:p w14:paraId="100DED78" w14:textId="2FA51F5A" w:rsidR="00742A05" w:rsidRDefault="00D10FE4" w:rsidP="00EF47B0">
      <w:pPr>
        <w:adjustRightInd w:val="0"/>
        <w:snapToGrid w:val="0"/>
        <w:spacing w:before="180" w:after="120"/>
        <w:jc w:val="both"/>
      </w:pPr>
      <w:r>
        <w:t xml:space="preserve">In </w:t>
      </w:r>
      <w:r>
        <w:fldChar w:fldCharType="begin"/>
      </w:r>
      <w:r>
        <w:instrText xml:space="preserve"> REF _Ref20680290 \h </w:instrText>
      </w:r>
      <w:r>
        <w:fldChar w:fldCharType="separate"/>
      </w:r>
      <w:r w:rsidR="005965B1">
        <w:t xml:space="preserve">Figure </w:t>
      </w:r>
      <w:r w:rsidR="005965B1">
        <w:rPr>
          <w:noProof/>
        </w:rPr>
        <w:t>1</w:t>
      </w:r>
      <w:r>
        <w:fldChar w:fldCharType="end"/>
      </w:r>
      <w:r>
        <w:t>, e</w:t>
      </w:r>
      <w:r w:rsidR="00742A05">
        <w:t xml:space="preserve">ach RRH is deployed to form 2 Tx beams. One beam (Tx beam #1) is used to carry SSB#1 and the other (Tx beam #2) for SSB#2. Obviously, this deployment has the benefit of higher system throughput. For users that are much closed to Tx beam #1, the interference </w:t>
      </w:r>
      <w:r w:rsidR="00D735F5">
        <w:t>due to</w:t>
      </w:r>
      <w:r w:rsidR="00742A05">
        <w:t xml:space="preserve"> </w:t>
      </w:r>
      <w:r w:rsidR="00341319">
        <w:t>simultaneous</w:t>
      </w:r>
      <w:r w:rsidR="00742A05">
        <w:t xml:space="preserve"> transmission </w:t>
      </w:r>
      <w:r w:rsidR="00C63B3B">
        <w:t>from</w:t>
      </w:r>
      <w:r w:rsidR="00742A05">
        <w:t xml:space="preserve"> Tx beam #2 could be very small. Therefore</w:t>
      </w:r>
      <w:r w:rsidR="0055042D">
        <w:t>,</w:t>
      </w:r>
      <w:r w:rsidR="00742A05">
        <w:t xml:space="preserve"> Tx beam #2 can be used to transmit data to other users </w:t>
      </w:r>
      <w:r w:rsidR="00BD1589">
        <w:t xml:space="preserve">at the same time </w:t>
      </w:r>
      <w:r w:rsidR="003F7C17">
        <w:t>when</w:t>
      </w:r>
      <w:r w:rsidR="00BD1589">
        <w:t xml:space="preserve"> Tx beam #1 is transmitting</w:t>
      </w:r>
      <w:r w:rsidR="00742A05">
        <w:t xml:space="preserve">. </w:t>
      </w:r>
    </w:p>
    <w:p w14:paraId="3959493D" w14:textId="19096586" w:rsidR="00742A05" w:rsidRPr="00742A05" w:rsidRDefault="00742A05" w:rsidP="00A7444F">
      <w:pPr>
        <w:pStyle w:val="Caption"/>
        <w:jc w:val="both"/>
        <w:rPr>
          <w:lang w:val="en-US"/>
        </w:rPr>
      </w:pPr>
      <w:bookmarkStart w:id="0" w:name="_Ref20684787"/>
      <w:r>
        <w:t xml:space="preserve">Observation </w:t>
      </w:r>
      <w:r w:rsidR="00601AA7">
        <w:rPr>
          <w:noProof/>
        </w:rPr>
        <w:fldChar w:fldCharType="begin"/>
      </w:r>
      <w:r w:rsidR="00601AA7">
        <w:rPr>
          <w:noProof/>
        </w:rPr>
        <w:instrText xml:space="preserve"> SEQ Observation \* ARABIC </w:instrText>
      </w:r>
      <w:r w:rsidR="00601AA7">
        <w:rPr>
          <w:noProof/>
        </w:rPr>
        <w:fldChar w:fldCharType="separate"/>
      </w:r>
      <w:r w:rsidR="005965B1">
        <w:rPr>
          <w:noProof/>
        </w:rPr>
        <w:t>1</w:t>
      </w:r>
      <w:r w:rsidR="00601AA7">
        <w:rPr>
          <w:noProof/>
        </w:rPr>
        <w:fldChar w:fldCharType="end"/>
      </w:r>
      <w:r>
        <w:rPr>
          <w:lang w:val="en-US"/>
        </w:rPr>
        <w:t>: DPS transmission scheme could achieve high system throughput by simultaneously transmitting signals from 2 Tx beams to different users.</w:t>
      </w:r>
      <w:bookmarkEnd w:id="0"/>
    </w:p>
    <w:p w14:paraId="70B3F23A" w14:textId="77777777" w:rsidR="00742A05" w:rsidRDefault="00742A05" w:rsidP="00EF47B0">
      <w:pPr>
        <w:adjustRightInd w:val="0"/>
        <w:snapToGrid w:val="0"/>
        <w:spacing w:before="180" w:after="120"/>
        <w:jc w:val="both"/>
      </w:pPr>
    </w:p>
    <w:p w14:paraId="3100275E" w14:textId="2DF0A40E" w:rsidR="00EF47B0" w:rsidRPr="006E3812" w:rsidRDefault="00742A05" w:rsidP="00EF47B0">
      <w:pPr>
        <w:adjustRightInd w:val="0"/>
        <w:snapToGrid w:val="0"/>
        <w:spacing w:before="180" w:after="120"/>
        <w:jc w:val="both"/>
      </w:pPr>
      <w:r w:rsidRPr="00742A05">
        <w:rPr>
          <w:noProof/>
          <w:lang w:eastAsia="zh-TW"/>
        </w:rPr>
        <w:lastRenderedPageBreak/>
        <w:drawing>
          <wp:inline distT="0" distB="0" distL="0" distR="0" wp14:anchorId="1AE71D46" wp14:editId="3C3987C7">
            <wp:extent cx="6120765" cy="1934511"/>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934511"/>
                    </a:xfrm>
                    <a:prstGeom prst="rect">
                      <a:avLst/>
                    </a:prstGeom>
                    <a:noFill/>
                    <a:ln>
                      <a:noFill/>
                    </a:ln>
                  </pic:spPr>
                </pic:pic>
              </a:graphicData>
            </a:graphic>
          </wp:inline>
        </w:drawing>
      </w:r>
      <w:r>
        <w:t xml:space="preserve"> </w:t>
      </w:r>
    </w:p>
    <w:p w14:paraId="2A5B44F2" w14:textId="7C140ECF" w:rsidR="00EF47B0" w:rsidRPr="00742A05" w:rsidRDefault="00742A05" w:rsidP="00742A05">
      <w:pPr>
        <w:pStyle w:val="Caption"/>
        <w:jc w:val="center"/>
        <w:rPr>
          <w:lang w:val="en-US"/>
        </w:rPr>
      </w:pPr>
      <w:bookmarkStart w:id="1" w:name="_Ref20680290"/>
      <w:r>
        <w:t xml:space="preserve">Figure </w:t>
      </w:r>
      <w:r w:rsidR="00601AA7">
        <w:rPr>
          <w:noProof/>
        </w:rPr>
        <w:fldChar w:fldCharType="begin"/>
      </w:r>
      <w:r w:rsidR="00601AA7">
        <w:rPr>
          <w:noProof/>
        </w:rPr>
        <w:instrText xml:space="preserve"> SEQ Figure \* ARABIC </w:instrText>
      </w:r>
      <w:r w:rsidR="00601AA7">
        <w:rPr>
          <w:noProof/>
        </w:rPr>
        <w:fldChar w:fldCharType="separate"/>
      </w:r>
      <w:r w:rsidR="005965B1">
        <w:rPr>
          <w:noProof/>
        </w:rPr>
        <w:t>1</w:t>
      </w:r>
      <w:r w:rsidR="00601AA7">
        <w:rPr>
          <w:noProof/>
        </w:rPr>
        <w:fldChar w:fldCharType="end"/>
      </w:r>
      <w:bookmarkEnd w:id="1"/>
      <w:r>
        <w:rPr>
          <w:lang w:val="en-US"/>
        </w:rPr>
        <w:t xml:space="preserve">. One of the </w:t>
      </w:r>
      <w:r w:rsidR="0055042D">
        <w:rPr>
          <w:lang w:val="en-US"/>
        </w:rPr>
        <w:t>HST-SFN DPS transmission scheme</w:t>
      </w:r>
    </w:p>
    <w:p w14:paraId="30549B81" w14:textId="1AFEBBBD" w:rsidR="006E3812" w:rsidRDefault="006E3812" w:rsidP="006E3812">
      <w:pPr>
        <w:pStyle w:val="Caption"/>
      </w:pPr>
    </w:p>
    <w:p w14:paraId="679A484C" w14:textId="17DAE04D" w:rsidR="005C394D" w:rsidRDefault="005C394D" w:rsidP="005C394D">
      <w:pPr>
        <w:jc w:val="both"/>
        <w:rPr>
          <w:lang w:eastAsia="x-none"/>
        </w:rPr>
      </w:pPr>
      <w:r>
        <w:rPr>
          <w:lang w:eastAsia="x-none"/>
        </w:rPr>
        <w:t xml:space="preserve">However, DPS transmission scheme also requires frequent Tx beam switch. According to R15 baseline, only one single TCI state can be activated </w:t>
      </w:r>
      <w:r w:rsidR="00F93F7E">
        <w:rPr>
          <w:lang w:eastAsia="x-none"/>
        </w:rPr>
        <w:t xml:space="preserve">for PDCCH </w:t>
      </w:r>
      <w:r>
        <w:rPr>
          <w:lang w:eastAsia="x-none"/>
        </w:rPr>
        <w:t>through MAC CE to UE. Therefore, when UE is entering the serving region of the other Tx beam, network needs to transmit MAC CE to the UE</w:t>
      </w:r>
      <w:r w:rsidR="00D759E2">
        <w:rPr>
          <w:lang w:eastAsia="x-none"/>
        </w:rPr>
        <w:t xml:space="preserve"> to change the </w:t>
      </w:r>
      <w:r w:rsidR="007725BA">
        <w:rPr>
          <w:lang w:eastAsia="x-none"/>
        </w:rPr>
        <w:t>a</w:t>
      </w:r>
      <w:r w:rsidR="003D540E">
        <w:rPr>
          <w:lang w:eastAsia="x-none"/>
        </w:rPr>
        <w:t xml:space="preserve">ctivated </w:t>
      </w:r>
      <w:r w:rsidR="00D759E2">
        <w:rPr>
          <w:lang w:eastAsia="x-none"/>
        </w:rPr>
        <w:t>TCI-state of PDCCH</w:t>
      </w:r>
      <w:r>
        <w:rPr>
          <w:lang w:eastAsia="x-none"/>
        </w:rPr>
        <w:t>. The same thing happens for CQI reporting. The baseline UE is only capab</w:t>
      </w:r>
      <w:r w:rsidR="00D72645">
        <w:rPr>
          <w:lang w:eastAsia="x-none"/>
        </w:rPr>
        <w:t>le of reporting one CSI process. N</w:t>
      </w:r>
      <w:r>
        <w:rPr>
          <w:lang w:eastAsia="x-none"/>
        </w:rPr>
        <w:t>etwork needs to re-configure CSI-RS</w:t>
      </w:r>
      <w:r w:rsidR="007629FC">
        <w:rPr>
          <w:lang w:eastAsia="x-none"/>
        </w:rPr>
        <w:t xml:space="preserve">, e.g., to be QCL-ed to the other </w:t>
      </w:r>
      <w:r w:rsidR="00B47697">
        <w:rPr>
          <w:lang w:eastAsia="x-none"/>
        </w:rPr>
        <w:t>SSB</w:t>
      </w:r>
      <w:r>
        <w:rPr>
          <w:lang w:eastAsia="x-none"/>
        </w:rPr>
        <w:t>. So that UE can report the CQI/PMI/RI with respect to the correct Tx beam. Either the TCI-state activation through MAC CE or CSI-RS reconfiguration through RRC takes some time. This is the additional overhead that needs to be considered in DPS transmission scheme.</w:t>
      </w:r>
    </w:p>
    <w:p w14:paraId="0DD9870F" w14:textId="38091136" w:rsidR="005C394D" w:rsidRPr="00742A05" w:rsidRDefault="005C394D" w:rsidP="005C394D">
      <w:pPr>
        <w:pStyle w:val="Caption"/>
        <w:rPr>
          <w:lang w:val="en-US"/>
        </w:rPr>
      </w:pPr>
      <w:bookmarkStart w:id="2" w:name="_Ref20684789"/>
      <w:r>
        <w:t xml:space="preserve">Observation </w:t>
      </w:r>
      <w:r w:rsidR="00BD0BAB">
        <w:rPr>
          <w:noProof/>
        </w:rPr>
        <w:fldChar w:fldCharType="begin"/>
      </w:r>
      <w:r w:rsidR="00BD0BAB">
        <w:rPr>
          <w:noProof/>
        </w:rPr>
        <w:instrText xml:space="preserve"> SEQ Observation \* ARABIC </w:instrText>
      </w:r>
      <w:r w:rsidR="00BD0BAB">
        <w:rPr>
          <w:noProof/>
        </w:rPr>
        <w:fldChar w:fldCharType="separate"/>
      </w:r>
      <w:r w:rsidR="005965B1">
        <w:rPr>
          <w:noProof/>
        </w:rPr>
        <w:t>2</w:t>
      </w:r>
      <w:r w:rsidR="00BD0BAB">
        <w:rPr>
          <w:noProof/>
        </w:rPr>
        <w:fldChar w:fldCharType="end"/>
      </w:r>
      <w:r>
        <w:rPr>
          <w:lang w:val="en-US"/>
        </w:rPr>
        <w:t>: Additional overhead for beam management needs to be considered in DPS transmission scheme, e.g., MAC CE based TCI-state switch for PDCCH and RRC based reconfiguration of CSI-RS for CQI reporting.</w:t>
      </w:r>
      <w:bookmarkEnd w:id="2"/>
      <w:r>
        <w:rPr>
          <w:lang w:val="en-US"/>
        </w:rPr>
        <w:t xml:space="preserve"> </w:t>
      </w:r>
    </w:p>
    <w:p w14:paraId="4B87BBA3" w14:textId="77777777" w:rsidR="005C394D" w:rsidRDefault="005C394D" w:rsidP="005C394D">
      <w:pPr>
        <w:jc w:val="both"/>
        <w:rPr>
          <w:lang w:eastAsia="x-none"/>
        </w:rPr>
      </w:pPr>
    </w:p>
    <w:p w14:paraId="44E2A8A9" w14:textId="3F96F3C7" w:rsidR="00401FB3" w:rsidRDefault="00401FB3" w:rsidP="005C394D">
      <w:pPr>
        <w:jc w:val="both"/>
        <w:rPr>
          <w:lang w:eastAsia="x-none"/>
        </w:rPr>
      </w:pPr>
      <w:r>
        <w:rPr>
          <w:lang w:eastAsia="x-none"/>
        </w:rPr>
        <w:t>Now, we take a closer look on the beam management process. In our understanding, the whole process can be divided into following 4 steps</w:t>
      </w:r>
    </w:p>
    <w:p w14:paraId="72764DE3" w14:textId="171A0093" w:rsidR="00401FB3" w:rsidRDefault="00401FB3" w:rsidP="00401FB3">
      <w:pPr>
        <w:pStyle w:val="ListParagraph"/>
        <w:ind w:left="1418" w:hanging="698"/>
        <w:jc w:val="both"/>
        <w:rPr>
          <w:lang w:eastAsia="x-none"/>
        </w:rPr>
      </w:pPr>
      <w:r>
        <w:rPr>
          <w:lang w:eastAsia="x-none"/>
        </w:rPr>
        <w:t>Step 1. UE measures the L1-RSRP of both beams.</w:t>
      </w:r>
    </w:p>
    <w:p w14:paraId="4995E90A" w14:textId="731743D0" w:rsidR="00401FB3" w:rsidRDefault="00401FB3" w:rsidP="00401FB3">
      <w:pPr>
        <w:pStyle w:val="ListParagraph"/>
        <w:ind w:left="1418" w:hanging="698"/>
        <w:jc w:val="both"/>
        <w:rPr>
          <w:lang w:eastAsia="x-none"/>
        </w:rPr>
      </w:pPr>
      <w:r>
        <w:rPr>
          <w:lang w:eastAsia="x-none"/>
        </w:rPr>
        <w:t>Step 2. UE reports the results of L1-RSRP to network</w:t>
      </w:r>
    </w:p>
    <w:p w14:paraId="5B94B602" w14:textId="73E005AC" w:rsidR="00401FB3" w:rsidRDefault="00401FB3" w:rsidP="00401FB3">
      <w:pPr>
        <w:pStyle w:val="ListParagraph"/>
        <w:ind w:left="1418" w:hanging="698"/>
        <w:jc w:val="both"/>
        <w:rPr>
          <w:lang w:eastAsia="x-none"/>
        </w:rPr>
      </w:pPr>
      <w:r>
        <w:rPr>
          <w:lang w:eastAsia="x-none"/>
        </w:rPr>
        <w:t xml:space="preserve">Step 3. Network triggers TCI-state switch for PDCCH and CQI based on UE’s </w:t>
      </w:r>
      <w:r w:rsidR="00DD3F54">
        <w:rPr>
          <w:lang w:eastAsia="x-none"/>
        </w:rPr>
        <w:t xml:space="preserve">L1-RSRP </w:t>
      </w:r>
      <w:r>
        <w:rPr>
          <w:lang w:eastAsia="x-none"/>
        </w:rPr>
        <w:t>report</w:t>
      </w:r>
    </w:p>
    <w:p w14:paraId="23413664" w14:textId="2D56E8BC" w:rsidR="00401FB3" w:rsidRPr="005C394D" w:rsidRDefault="00401FB3" w:rsidP="00401FB3">
      <w:pPr>
        <w:pStyle w:val="ListParagraph"/>
        <w:ind w:left="1418" w:hanging="698"/>
        <w:jc w:val="both"/>
        <w:rPr>
          <w:lang w:eastAsia="x-none"/>
        </w:rPr>
      </w:pPr>
      <w:r>
        <w:rPr>
          <w:lang w:eastAsia="x-none"/>
        </w:rPr>
        <w:t>Step 4. UE starts the TCI-state switch process</w:t>
      </w:r>
    </w:p>
    <w:p w14:paraId="079B1E92" w14:textId="6C209364" w:rsidR="005207B4" w:rsidRPr="005207B4" w:rsidRDefault="005207B4" w:rsidP="005207B4">
      <w:pPr>
        <w:jc w:val="both"/>
        <w:rPr>
          <w:lang w:eastAsia="x-none"/>
        </w:rPr>
      </w:pPr>
      <w:r>
        <w:rPr>
          <w:lang w:eastAsia="x-none"/>
        </w:rPr>
        <w:t xml:space="preserve">We can see that L1-RSRP report is the key for network </w:t>
      </w:r>
      <w:r w:rsidR="00DD3F54">
        <w:rPr>
          <w:lang w:eastAsia="x-none"/>
        </w:rPr>
        <w:t xml:space="preserve">to know when to trigger </w:t>
      </w:r>
      <w:r>
        <w:rPr>
          <w:lang w:eastAsia="x-none"/>
        </w:rPr>
        <w:t xml:space="preserve">TCI-state switch. Therefore, we plot the </w:t>
      </w:r>
      <w:r w:rsidR="002C3816">
        <w:rPr>
          <w:lang w:eastAsia="x-none"/>
        </w:rPr>
        <w:t xml:space="preserve">time-variant </w:t>
      </w:r>
      <w:r>
        <w:rPr>
          <w:lang w:eastAsia="x-none"/>
        </w:rPr>
        <w:t xml:space="preserve">received power from SSB#0 and SSB#1 in </w:t>
      </w:r>
      <w:r w:rsidR="00DD3F54">
        <w:rPr>
          <w:lang w:eastAsia="x-none"/>
        </w:rPr>
        <w:fldChar w:fldCharType="begin"/>
      </w:r>
      <w:r w:rsidR="00DD3F54">
        <w:rPr>
          <w:lang w:eastAsia="x-none"/>
        </w:rPr>
        <w:instrText xml:space="preserve"> REF _Ref20682204 \h </w:instrText>
      </w:r>
      <w:r w:rsidR="00DD3F54">
        <w:rPr>
          <w:lang w:eastAsia="x-none"/>
        </w:rPr>
      </w:r>
      <w:r w:rsidR="00DD3F54">
        <w:rPr>
          <w:lang w:eastAsia="x-none"/>
        </w:rPr>
        <w:fldChar w:fldCharType="separate"/>
      </w:r>
      <w:r w:rsidR="005965B1">
        <w:t xml:space="preserve">Figure </w:t>
      </w:r>
      <w:r w:rsidR="005965B1">
        <w:rPr>
          <w:noProof/>
        </w:rPr>
        <w:t>2</w:t>
      </w:r>
      <w:r w:rsidR="00DD3F54">
        <w:rPr>
          <w:lang w:eastAsia="x-none"/>
        </w:rPr>
        <w:fldChar w:fldCharType="end"/>
      </w:r>
      <w:r w:rsidR="00DD3F54">
        <w:rPr>
          <w:lang w:eastAsia="x-none"/>
        </w:rPr>
        <w:t xml:space="preserve">. </w:t>
      </w:r>
    </w:p>
    <w:p w14:paraId="3718DBD0" w14:textId="270988AE" w:rsidR="005207B4" w:rsidRDefault="00F44E27" w:rsidP="00DD3F54">
      <w:pPr>
        <w:jc w:val="center"/>
        <w:rPr>
          <w:lang w:val="x-none" w:eastAsia="x-none"/>
        </w:rPr>
      </w:pPr>
      <w:r w:rsidRPr="00F44E27">
        <w:rPr>
          <w:noProof/>
          <w:lang w:eastAsia="zh-TW"/>
        </w:rPr>
        <w:lastRenderedPageBreak/>
        <w:drawing>
          <wp:inline distT="0" distB="0" distL="0" distR="0" wp14:anchorId="06039412" wp14:editId="541626AC">
            <wp:extent cx="4635285" cy="3119647"/>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45421" cy="3126469"/>
                    </a:xfrm>
                    <a:prstGeom prst="rect">
                      <a:avLst/>
                    </a:prstGeom>
                    <a:noFill/>
                    <a:ln>
                      <a:noFill/>
                    </a:ln>
                  </pic:spPr>
                </pic:pic>
              </a:graphicData>
            </a:graphic>
          </wp:inline>
        </w:drawing>
      </w:r>
    </w:p>
    <w:p w14:paraId="735F6785" w14:textId="740487DF" w:rsidR="005207B4" w:rsidRPr="005207B4" w:rsidRDefault="005207B4" w:rsidP="005207B4">
      <w:pPr>
        <w:pStyle w:val="Caption"/>
        <w:jc w:val="center"/>
        <w:rPr>
          <w:lang w:val="en-US"/>
        </w:rPr>
      </w:pPr>
      <w:bookmarkStart w:id="3" w:name="_Ref20682204"/>
      <w:r>
        <w:t xml:space="preserve">Figure </w:t>
      </w:r>
      <w:r w:rsidR="00601AA7">
        <w:rPr>
          <w:noProof/>
        </w:rPr>
        <w:fldChar w:fldCharType="begin"/>
      </w:r>
      <w:r w:rsidR="00601AA7">
        <w:rPr>
          <w:noProof/>
        </w:rPr>
        <w:instrText xml:space="preserve"> SEQ Figure \* ARABIC </w:instrText>
      </w:r>
      <w:r w:rsidR="00601AA7">
        <w:rPr>
          <w:noProof/>
        </w:rPr>
        <w:fldChar w:fldCharType="separate"/>
      </w:r>
      <w:r w:rsidR="005965B1">
        <w:rPr>
          <w:noProof/>
        </w:rPr>
        <w:t>2</w:t>
      </w:r>
      <w:r w:rsidR="00601AA7">
        <w:rPr>
          <w:noProof/>
        </w:rPr>
        <w:fldChar w:fldCharType="end"/>
      </w:r>
      <w:bookmarkEnd w:id="3"/>
      <w:r>
        <w:rPr>
          <w:lang w:val="en-US"/>
        </w:rPr>
        <w:t xml:space="preserve">. UE’s received power from SSB#0 and SSB#1 </w:t>
      </w:r>
      <w:r w:rsidR="00DD3F54">
        <w:rPr>
          <w:lang w:val="en-US"/>
        </w:rPr>
        <w:t xml:space="preserve">between point A and B in </w:t>
      </w:r>
      <w:r w:rsidR="00DD3F54">
        <w:rPr>
          <w:lang w:val="en-US"/>
        </w:rPr>
        <w:fldChar w:fldCharType="begin"/>
      </w:r>
      <w:r w:rsidR="00DD3F54">
        <w:rPr>
          <w:lang w:val="en-US"/>
        </w:rPr>
        <w:instrText xml:space="preserve"> REF _Ref20680290 \h </w:instrText>
      </w:r>
      <w:r w:rsidR="00DD3F54">
        <w:rPr>
          <w:lang w:val="en-US"/>
        </w:rPr>
      </w:r>
      <w:r w:rsidR="00DD3F54">
        <w:rPr>
          <w:lang w:val="en-US"/>
        </w:rPr>
        <w:fldChar w:fldCharType="separate"/>
      </w:r>
      <w:r w:rsidR="005965B1">
        <w:t xml:space="preserve">Figure </w:t>
      </w:r>
      <w:r w:rsidR="005965B1">
        <w:rPr>
          <w:noProof/>
        </w:rPr>
        <w:t>1</w:t>
      </w:r>
      <w:r w:rsidR="00DD3F54">
        <w:rPr>
          <w:lang w:val="en-US"/>
        </w:rPr>
        <w:fldChar w:fldCharType="end"/>
      </w:r>
      <w:r w:rsidR="00DD3F54">
        <w:rPr>
          <w:lang w:val="en-US"/>
        </w:rPr>
        <w:t>.</w:t>
      </w:r>
    </w:p>
    <w:p w14:paraId="3C0690A4" w14:textId="77777777" w:rsidR="00F44E27" w:rsidRDefault="00F44E27" w:rsidP="00DD3F54">
      <w:pPr>
        <w:jc w:val="both"/>
        <w:rPr>
          <w:lang w:eastAsia="x-none"/>
        </w:rPr>
      </w:pPr>
    </w:p>
    <w:p w14:paraId="5FC600A4" w14:textId="6657AB05" w:rsidR="00DD3F54" w:rsidRDefault="00DD3F54" w:rsidP="00DD3F54">
      <w:pPr>
        <w:jc w:val="both"/>
        <w:rPr>
          <w:lang w:eastAsia="x-none"/>
        </w:rPr>
      </w:pPr>
      <w:r>
        <w:rPr>
          <w:lang w:eastAsia="x-none"/>
        </w:rPr>
        <w:t xml:space="preserve">In Figure 2, we highlight 2 types of TCI-state switch points. </w:t>
      </w:r>
    </w:p>
    <w:p w14:paraId="70D67058" w14:textId="7300BA81" w:rsidR="00F44E27" w:rsidRDefault="00F44E27" w:rsidP="0012659B">
      <w:pPr>
        <w:pStyle w:val="ListParagraph"/>
        <w:numPr>
          <w:ilvl w:val="0"/>
          <w:numId w:val="3"/>
        </w:numPr>
        <w:jc w:val="both"/>
        <w:rPr>
          <w:lang w:eastAsia="x-none"/>
        </w:rPr>
      </w:pPr>
      <w:r>
        <w:rPr>
          <w:lang w:eastAsia="x-none"/>
        </w:rPr>
        <w:t xml:space="preserve">TCI-state switch point I: </w:t>
      </w:r>
    </w:p>
    <w:p w14:paraId="5C02D05F" w14:textId="6530FC07" w:rsidR="00F44E27" w:rsidRDefault="009E0EDD" w:rsidP="0012659B">
      <w:pPr>
        <w:pStyle w:val="ListParagraph"/>
        <w:numPr>
          <w:ilvl w:val="1"/>
          <w:numId w:val="3"/>
        </w:numPr>
        <w:jc w:val="both"/>
        <w:rPr>
          <w:lang w:eastAsia="x-none"/>
        </w:rPr>
      </w:pPr>
      <w:r>
        <w:rPr>
          <w:lang w:eastAsia="x-none"/>
        </w:rPr>
        <w:t>Before the crossing point, t</w:t>
      </w:r>
      <w:r w:rsidR="00F44E27">
        <w:rPr>
          <w:lang w:eastAsia="x-none"/>
        </w:rPr>
        <w:t>he received power of SSB#1 decreases gradually, and the received power of SSB#2 increases gradually. Therefore, network can see the L1-RSRP of 2 SSBs are getting clo</w:t>
      </w:r>
      <w:r>
        <w:rPr>
          <w:lang w:eastAsia="x-none"/>
        </w:rPr>
        <w:t>sed to each other</w:t>
      </w:r>
      <w:r w:rsidRPr="009E0EDD">
        <w:rPr>
          <w:lang w:eastAsia="x-none"/>
        </w:rPr>
        <w:t xml:space="preserve"> </w:t>
      </w:r>
      <w:r>
        <w:rPr>
          <w:lang w:eastAsia="x-none"/>
        </w:rPr>
        <w:t>gradually. It is easier for network to set a suitable threshold based on the L1-RSRP difference to trigger TCI-state switch.</w:t>
      </w:r>
    </w:p>
    <w:p w14:paraId="08ADC9EE" w14:textId="6BDB1C95" w:rsidR="009E0EDD" w:rsidRDefault="009E0EDD" w:rsidP="0012659B">
      <w:pPr>
        <w:pStyle w:val="ListParagraph"/>
        <w:numPr>
          <w:ilvl w:val="1"/>
          <w:numId w:val="3"/>
        </w:numPr>
        <w:jc w:val="both"/>
        <w:rPr>
          <w:lang w:eastAsia="x-none"/>
        </w:rPr>
      </w:pPr>
      <w:r>
        <w:rPr>
          <w:lang w:eastAsia="x-none"/>
        </w:rPr>
        <w:t xml:space="preserve">Even after the crossing point, the L1-RSRP of the 2 beams are still closed to each other. According to current requirements of TCI-state switch, UE should keep monitoring the PDCCH with old TCI after receiving MAC CE and before the switch delay. The decoding performance during this interval can still be guaranteed. </w:t>
      </w:r>
    </w:p>
    <w:p w14:paraId="5C676527" w14:textId="49D65C20" w:rsidR="009E0EDD" w:rsidRDefault="009E0EDD" w:rsidP="0012659B">
      <w:pPr>
        <w:pStyle w:val="ListParagraph"/>
        <w:numPr>
          <w:ilvl w:val="1"/>
          <w:numId w:val="3"/>
        </w:numPr>
        <w:jc w:val="both"/>
        <w:rPr>
          <w:lang w:eastAsia="x-none"/>
        </w:rPr>
      </w:pPr>
      <w:r>
        <w:rPr>
          <w:lang w:eastAsia="x-none"/>
        </w:rPr>
        <w:t>In summary, the slowly changing of the L1-RSRP of both Tx beams gives some margin to the network on the timing of triggering TCI-state switch. The system is robust enough even if the triggering comes a little bit late or a little bit early.</w:t>
      </w:r>
    </w:p>
    <w:p w14:paraId="3834E53C" w14:textId="35B77381" w:rsidR="001E5143" w:rsidRDefault="001E5143" w:rsidP="0012659B">
      <w:pPr>
        <w:pStyle w:val="ListParagraph"/>
        <w:numPr>
          <w:ilvl w:val="0"/>
          <w:numId w:val="3"/>
        </w:numPr>
        <w:jc w:val="both"/>
        <w:rPr>
          <w:lang w:eastAsia="x-none"/>
        </w:rPr>
      </w:pPr>
      <w:r>
        <w:rPr>
          <w:lang w:eastAsia="x-none"/>
        </w:rPr>
        <w:t>TCI-state switch point II:</w:t>
      </w:r>
    </w:p>
    <w:p w14:paraId="604AEEC9" w14:textId="3F215C3B" w:rsidR="001E5143" w:rsidRDefault="00750676" w:rsidP="0012659B">
      <w:pPr>
        <w:pStyle w:val="ListParagraph"/>
        <w:numPr>
          <w:ilvl w:val="1"/>
          <w:numId w:val="3"/>
        </w:numPr>
        <w:jc w:val="both"/>
        <w:rPr>
          <w:lang w:eastAsia="x-none"/>
        </w:rPr>
      </w:pPr>
      <w:r>
        <w:rPr>
          <w:lang w:eastAsia="x-none"/>
        </w:rPr>
        <w:t xml:space="preserve">Before the crossing point, the received power of SSB#1 is far lower than the received power of SSB#2. The difference could be up to 50dB. </w:t>
      </w:r>
      <w:r w:rsidR="00474D53">
        <w:rPr>
          <w:lang w:eastAsia="x-none"/>
        </w:rPr>
        <w:t xml:space="preserve">Note that in </w:t>
      </w:r>
      <w:r w:rsidR="00474D53" w:rsidRPr="00474D53">
        <w:rPr>
          <w:lang w:eastAsia="x-none"/>
        </w:rPr>
        <w:t>Table 10.1.6.1-2</w:t>
      </w:r>
      <w:r w:rsidR="00474D53">
        <w:rPr>
          <w:lang w:eastAsia="x-none"/>
        </w:rPr>
        <w:t xml:space="preserve"> of TS38.133, the reporting mapping of differential L1-RSRP is up to 30dB only. </w:t>
      </w:r>
      <w:r w:rsidR="002A244F">
        <w:rPr>
          <w:lang w:eastAsia="x-none"/>
        </w:rPr>
        <w:t xml:space="preserve">This means </w:t>
      </w:r>
      <w:r w:rsidR="00120A81">
        <w:rPr>
          <w:lang w:eastAsia="x-none"/>
        </w:rPr>
        <w:t xml:space="preserve">that </w:t>
      </w:r>
      <w:r w:rsidR="002A244F">
        <w:rPr>
          <w:lang w:eastAsia="x-none"/>
        </w:rPr>
        <w:t xml:space="preserve">UE is not able to maintain correct L1-RSRP report for the weaker beam. In other words, network will have no idea about the L1-RSRP of the weaker beam when UE is </w:t>
      </w:r>
      <w:r w:rsidR="005E79C8">
        <w:rPr>
          <w:lang w:eastAsia="x-none"/>
        </w:rPr>
        <w:t>much</w:t>
      </w:r>
      <w:r w:rsidR="002933F2">
        <w:rPr>
          <w:lang w:eastAsia="x-none"/>
        </w:rPr>
        <w:t xml:space="preserve"> closed to the RRH</w:t>
      </w:r>
      <w:r w:rsidR="002A244F">
        <w:rPr>
          <w:lang w:eastAsia="x-none"/>
        </w:rPr>
        <w:t>.</w:t>
      </w:r>
      <w:r w:rsidR="00616B68">
        <w:rPr>
          <w:lang w:eastAsia="x-none"/>
        </w:rPr>
        <w:t xml:space="preserve"> Therefore, it is very difficult for network to set the criterion to trigger TCI-state switch for switch point II.</w:t>
      </w:r>
      <w:r w:rsidR="00A016DA">
        <w:rPr>
          <w:lang w:eastAsia="x-none"/>
        </w:rPr>
        <w:t xml:space="preserve"> Even if the reporting range of the differential L1-RSRP can be extended, the weaker beam may still in a channel condition where the L1-RSRP reporting accuracy is not guaranteed.</w:t>
      </w:r>
    </w:p>
    <w:p w14:paraId="3A4067BC" w14:textId="183CBEF1" w:rsidR="002A244F" w:rsidRPr="002A244F" w:rsidRDefault="002A244F" w:rsidP="00616B68">
      <w:pPr>
        <w:pStyle w:val="Caption"/>
        <w:jc w:val="both"/>
        <w:rPr>
          <w:lang w:val="en-US"/>
        </w:rPr>
      </w:pPr>
      <w:bookmarkStart w:id="4" w:name="_Ref20684791"/>
      <w:r>
        <w:t xml:space="preserve">Observation </w:t>
      </w:r>
      <w:r w:rsidR="00601AA7">
        <w:rPr>
          <w:noProof/>
        </w:rPr>
        <w:fldChar w:fldCharType="begin"/>
      </w:r>
      <w:r w:rsidR="00601AA7">
        <w:rPr>
          <w:noProof/>
        </w:rPr>
        <w:instrText xml:space="preserve"> SEQ Observation \* ARABIC </w:instrText>
      </w:r>
      <w:r w:rsidR="00601AA7">
        <w:rPr>
          <w:noProof/>
        </w:rPr>
        <w:fldChar w:fldCharType="separate"/>
      </w:r>
      <w:r w:rsidR="005965B1">
        <w:rPr>
          <w:noProof/>
        </w:rPr>
        <w:t>3</w:t>
      </w:r>
      <w:r w:rsidR="00601AA7">
        <w:rPr>
          <w:noProof/>
        </w:rPr>
        <w:fldChar w:fldCharType="end"/>
      </w:r>
      <w:r>
        <w:rPr>
          <w:lang w:val="en-US"/>
        </w:rPr>
        <w:t xml:space="preserve">: Due to the limit of differential L1-RSRP report mapping, </w:t>
      </w:r>
      <w:r w:rsidR="009808C9">
        <w:rPr>
          <w:lang w:val="en-US"/>
        </w:rPr>
        <w:t>n</w:t>
      </w:r>
      <w:r>
        <w:rPr>
          <w:lang w:val="en-US"/>
        </w:rPr>
        <w:t xml:space="preserve">etwork has no idea about the L1-RSRP of the weaker beam when UE is </w:t>
      </w:r>
      <w:r w:rsidR="00EA4016">
        <w:rPr>
          <w:lang w:val="en-US"/>
        </w:rPr>
        <w:t>much</w:t>
      </w:r>
      <w:r>
        <w:rPr>
          <w:lang w:val="en-US"/>
        </w:rPr>
        <w:t xml:space="preserve"> closed to the RRH.</w:t>
      </w:r>
      <w:bookmarkEnd w:id="4"/>
    </w:p>
    <w:p w14:paraId="5F7254EA" w14:textId="2210CFC5" w:rsidR="00DD3F54" w:rsidRDefault="005E79C8" w:rsidP="0012659B">
      <w:pPr>
        <w:pStyle w:val="ListParagraph"/>
        <w:numPr>
          <w:ilvl w:val="1"/>
          <w:numId w:val="3"/>
        </w:numPr>
        <w:jc w:val="both"/>
        <w:rPr>
          <w:lang w:eastAsia="x-none"/>
        </w:rPr>
      </w:pPr>
      <w:r>
        <w:rPr>
          <w:lang w:eastAsia="x-none"/>
        </w:rPr>
        <w:t xml:space="preserve">The timing of triggering the TCI-state switch is also very tricky. Early triggering would result a very poor performance </w:t>
      </w:r>
      <w:r w:rsidR="003B7F77">
        <w:rPr>
          <w:lang w:eastAsia="x-none"/>
        </w:rPr>
        <w:t>because</w:t>
      </w:r>
      <w:r>
        <w:rPr>
          <w:lang w:eastAsia="x-none"/>
        </w:rPr>
        <w:t xml:space="preserve"> UE still observe</w:t>
      </w:r>
      <w:r w:rsidR="00CD5E17">
        <w:rPr>
          <w:lang w:eastAsia="x-none"/>
        </w:rPr>
        <w:t>s</w:t>
      </w:r>
      <w:r>
        <w:rPr>
          <w:lang w:eastAsia="x-none"/>
        </w:rPr>
        <w:t xml:space="preserve"> very low L1-RSRP of the new Tx beam. </w:t>
      </w:r>
      <w:r>
        <w:rPr>
          <w:lang w:eastAsia="x-none"/>
        </w:rPr>
        <w:lastRenderedPageBreak/>
        <w:t>Late trigger</w:t>
      </w:r>
      <w:r w:rsidR="00BE00BE">
        <w:rPr>
          <w:lang w:eastAsia="x-none"/>
        </w:rPr>
        <w:t>ing</w:t>
      </w:r>
      <w:r>
        <w:rPr>
          <w:lang w:eastAsia="x-none"/>
        </w:rPr>
        <w:t xml:space="preserve"> is also problematic because it may not be guaranteed that UE can still receive the triggering command from the old beam after passing the crossing point. </w:t>
      </w:r>
    </w:p>
    <w:p w14:paraId="4FB57AB3" w14:textId="29FA0A59" w:rsidR="005207B4" w:rsidRPr="00DD3F54" w:rsidRDefault="00EA4016" w:rsidP="0012659B">
      <w:pPr>
        <w:pStyle w:val="ListParagraph"/>
        <w:numPr>
          <w:ilvl w:val="1"/>
          <w:numId w:val="3"/>
        </w:numPr>
        <w:jc w:val="both"/>
        <w:rPr>
          <w:lang w:eastAsia="x-none"/>
        </w:rPr>
      </w:pPr>
      <w:r>
        <w:rPr>
          <w:lang w:eastAsia="x-none"/>
        </w:rPr>
        <w:t xml:space="preserve">The consequence of failing to trigger TCI-state switch at switch point II is </w:t>
      </w:r>
      <w:r w:rsidR="00CA6044">
        <w:rPr>
          <w:lang w:eastAsia="x-none"/>
        </w:rPr>
        <w:t>really bad</w:t>
      </w:r>
      <w:r>
        <w:rPr>
          <w:lang w:eastAsia="x-none"/>
        </w:rPr>
        <w:t>. UE would have to keep using the old TCI-state for PDCCH reception and CQI reporting until the L1-RSRP of SSB#0 becomes comparable with SSB#1. Th</w:t>
      </w:r>
      <w:r w:rsidR="00C60F46">
        <w:rPr>
          <w:lang w:eastAsia="x-none"/>
        </w:rPr>
        <w:t>is</w:t>
      </w:r>
      <w:r>
        <w:rPr>
          <w:lang w:eastAsia="x-none"/>
        </w:rPr>
        <w:t xml:space="preserve"> interval could be up to 3 sec, </w:t>
      </w:r>
      <w:r w:rsidR="00CF2C8A">
        <w:rPr>
          <w:lang w:eastAsia="x-none"/>
        </w:rPr>
        <w:t>while</w:t>
      </w:r>
      <w:r>
        <w:rPr>
          <w:lang w:eastAsia="x-none"/>
        </w:rPr>
        <w:t xml:space="preserve"> the switch happens roughly every 7 sec, according to </w:t>
      </w:r>
      <w:r>
        <w:rPr>
          <w:lang w:eastAsia="x-none"/>
        </w:rPr>
        <w:fldChar w:fldCharType="begin"/>
      </w:r>
      <w:r>
        <w:rPr>
          <w:lang w:eastAsia="x-none"/>
        </w:rPr>
        <w:instrText xml:space="preserve"> REF _Ref20680290 \h </w:instrText>
      </w:r>
      <w:r>
        <w:rPr>
          <w:lang w:eastAsia="x-none"/>
        </w:rPr>
      </w:r>
      <w:r>
        <w:rPr>
          <w:lang w:eastAsia="x-none"/>
        </w:rPr>
        <w:fldChar w:fldCharType="separate"/>
      </w:r>
      <w:r w:rsidR="005965B1">
        <w:t xml:space="preserve">Figure </w:t>
      </w:r>
      <w:r w:rsidR="005965B1">
        <w:rPr>
          <w:noProof/>
        </w:rPr>
        <w:t>1</w:t>
      </w:r>
      <w:r>
        <w:rPr>
          <w:lang w:eastAsia="x-none"/>
        </w:rPr>
        <w:fldChar w:fldCharType="end"/>
      </w:r>
      <w:r>
        <w:rPr>
          <w:lang w:eastAsia="x-none"/>
        </w:rPr>
        <w:t>. Th</w:t>
      </w:r>
      <w:r w:rsidR="00266158">
        <w:rPr>
          <w:lang w:eastAsia="x-none"/>
        </w:rPr>
        <w:t>is</w:t>
      </w:r>
      <w:r>
        <w:rPr>
          <w:lang w:eastAsia="x-none"/>
        </w:rPr>
        <w:t xml:space="preserve"> would result a poor user experience.</w:t>
      </w:r>
    </w:p>
    <w:p w14:paraId="45F295BA" w14:textId="68334395" w:rsidR="00EA4016" w:rsidRPr="002A244F" w:rsidRDefault="00EA4016" w:rsidP="00EA4016">
      <w:pPr>
        <w:pStyle w:val="Caption"/>
        <w:jc w:val="both"/>
        <w:rPr>
          <w:lang w:val="en-US"/>
        </w:rPr>
      </w:pPr>
      <w:bookmarkStart w:id="5" w:name="_Ref20684793"/>
      <w:r>
        <w:t xml:space="preserve">Observation </w:t>
      </w:r>
      <w:r w:rsidR="00BD0BAB">
        <w:rPr>
          <w:noProof/>
        </w:rPr>
        <w:fldChar w:fldCharType="begin"/>
      </w:r>
      <w:r w:rsidR="00BD0BAB">
        <w:rPr>
          <w:noProof/>
        </w:rPr>
        <w:instrText xml:space="preserve"> SEQ Observ</w:instrText>
      </w:r>
      <w:r w:rsidR="00BD0BAB">
        <w:rPr>
          <w:noProof/>
        </w:rPr>
        <w:instrText xml:space="preserve">ation \* ARABIC </w:instrText>
      </w:r>
      <w:r w:rsidR="00BD0BAB">
        <w:rPr>
          <w:noProof/>
        </w:rPr>
        <w:fldChar w:fldCharType="separate"/>
      </w:r>
      <w:r w:rsidR="005965B1">
        <w:rPr>
          <w:noProof/>
        </w:rPr>
        <w:t>4</w:t>
      </w:r>
      <w:r w:rsidR="00BD0BAB">
        <w:rPr>
          <w:noProof/>
        </w:rPr>
        <w:fldChar w:fldCharType="end"/>
      </w:r>
      <w:r>
        <w:rPr>
          <w:lang w:val="en-US"/>
        </w:rPr>
        <w:t xml:space="preserve">: Fail to trigger TCI-state switch when UE is much closed to RRH would results a poor decoding performance for an interval of 3 sec </w:t>
      </w:r>
      <w:r w:rsidR="00FE5F99">
        <w:rPr>
          <w:lang w:val="en-US"/>
        </w:rPr>
        <w:t>in</w:t>
      </w:r>
      <w:r>
        <w:rPr>
          <w:lang w:val="en-US"/>
        </w:rPr>
        <w:t xml:space="preserve"> every 7 sec.</w:t>
      </w:r>
      <w:r w:rsidR="004A3747">
        <w:rPr>
          <w:lang w:val="en-US"/>
        </w:rPr>
        <w:t xml:space="preserve"> This is a high impact to user experience.</w:t>
      </w:r>
      <w:bookmarkEnd w:id="5"/>
      <w:r w:rsidR="004A3747">
        <w:rPr>
          <w:lang w:val="en-US"/>
        </w:rPr>
        <w:t xml:space="preserve"> </w:t>
      </w:r>
    </w:p>
    <w:p w14:paraId="7993E300" w14:textId="77777777" w:rsidR="00DD3F54" w:rsidRDefault="00DD3F54" w:rsidP="00742A05">
      <w:pPr>
        <w:rPr>
          <w:lang w:eastAsia="x-none"/>
        </w:rPr>
      </w:pPr>
    </w:p>
    <w:p w14:paraId="5FEB4569" w14:textId="175C498C" w:rsidR="004A3747" w:rsidRDefault="004A3747" w:rsidP="004A3747">
      <w:pPr>
        <w:jc w:val="both"/>
        <w:rPr>
          <w:lang w:eastAsia="x-none"/>
        </w:rPr>
      </w:pPr>
      <w:r>
        <w:rPr>
          <w:lang w:eastAsia="x-none"/>
        </w:rPr>
        <w:t xml:space="preserve">In above discussion, we analyze the pros and cons for HST-SFN DPS transmission scheme. We see the benefit of this scheme on the system throughput, but also see the robustness issue in TCI-state switch when UE is much closed to the RRH. </w:t>
      </w:r>
      <w:r w:rsidR="00E93D15">
        <w:rPr>
          <w:lang w:eastAsia="x-none"/>
        </w:rPr>
        <w:t>We suggest that RAN4 to consider other DPS transmission scheme to avoid TCI-state switch when UE is much closed to the RRH.</w:t>
      </w:r>
    </w:p>
    <w:p w14:paraId="4A7E4744" w14:textId="70FB9D75" w:rsidR="00E93D15" w:rsidRPr="00E93D15" w:rsidRDefault="00E93D15" w:rsidP="00E93D15">
      <w:pPr>
        <w:pStyle w:val="Caption"/>
        <w:rPr>
          <w:lang w:val="en-US"/>
        </w:rPr>
      </w:pPr>
      <w:bookmarkStart w:id="6" w:name="_Ref20684798"/>
      <w:r>
        <w:t xml:space="preserve">Proposal </w:t>
      </w:r>
      <w:r w:rsidR="00601AA7">
        <w:rPr>
          <w:noProof/>
        </w:rPr>
        <w:fldChar w:fldCharType="begin"/>
      </w:r>
      <w:r w:rsidR="00601AA7">
        <w:rPr>
          <w:noProof/>
        </w:rPr>
        <w:instrText xml:space="preserve"> SEQ Proposal \* ARABIC </w:instrText>
      </w:r>
      <w:r w:rsidR="00601AA7">
        <w:rPr>
          <w:noProof/>
        </w:rPr>
        <w:fldChar w:fldCharType="separate"/>
      </w:r>
      <w:r w:rsidR="005965B1">
        <w:rPr>
          <w:noProof/>
        </w:rPr>
        <w:t>1</w:t>
      </w:r>
      <w:r w:rsidR="00601AA7">
        <w:rPr>
          <w:noProof/>
        </w:rPr>
        <w:fldChar w:fldCharType="end"/>
      </w:r>
      <w:r>
        <w:rPr>
          <w:lang w:val="en-US"/>
        </w:rPr>
        <w:t>: RAN4 to consider other DPS transmission scheme</w:t>
      </w:r>
      <w:r w:rsidR="00BE21FC">
        <w:rPr>
          <w:lang w:val="en-US"/>
        </w:rPr>
        <w:t>s</w:t>
      </w:r>
      <w:r>
        <w:rPr>
          <w:lang w:val="en-US"/>
        </w:rPr>
        <w:t xml:space="preserve"> to avoid </w:t>
      </w:r>
      <w:r>
        <w:t>TCI-state switch when UE is much closed to the RRH</w:t>
      </w:r>
      <w:r>
        <w:rPr>
          <w:lang w:val="en-US"/>
        </w:rPr>
        <w:t>.</w:t>
      </w:r>
      <w:bookmarkEnd w:id="6"/>
      <w:r>
        <w:rPr>
          <w:lang w:val="en-US"/>
        </w:rPr>
        <w:t xml:space="preserve"> </w:t>
      </w:r>
    </w:p>
    <w:p w14:paraId="599C6470" w14:textId="77777777" w:rsidR="00DD3F54" w:rsidRPr="00742A05" w:rsidRDefault="00DD3F54" w:rsidP="00742A05">
      <w:pPr>
        <w:rPr>
          <w:lang w:val="x-none" w:eastAsia="x-none"/>
        </w:rPr>
      </w:pPr>
    </w:p>
    <w:p w14:paraId="59E31DA9" w14:textId="77777777" w:rsidR="007A456D" w:rsidRPr="000C45FD" w:rsidRDefault="007A456D" w:rsidP="0012659B">
      <w:pPr>
        <w:pStyle w:val="Heading1"/>
        <w:numPr>
          <w:ilvl w:val="0"/>
          <w:numId w:val="1"/>
        </w:numPr>
        <w:rPr>
          <w:rFonts w:ascii="Calibri" w:hAnsi="Calibri"/>
          <w:lang w:eastAsia="zh-CN"/>
        </w:rPr>
      </w:pPr>
      <w:r>
        <w:rPr>
          <w:rFonts w:ascii="Calibri" w:hAnsi="Calibri"/>
        </w:rPr>
        <w:t>Summary</w:t>
      </w:r>
    </w:p>
    <w:p w14:paraId="746B2B53" w14:textId="7A6F1E0B" w:rsidR="006B1D92" w:rsidRDefault="006E3812" w:rsidP="006B1D92">
      <w:pPr>
        <w:adjustRightInd w:val="0"/>
        <w:snapToGrid w:val="0"/>
        <w:spacing w:before="180" w:after="120"/>
        <w:jc w:val="both"/>
      </w:pPr>
      <w:r w:rsidRPr="006E3812">
        <w:t>In this</w:t>
      </w:r>
      <w:r>
        <w:t xml:space="preserve"> paper, </w:t>
      </w:r>
      <w:r w:rsidR="00FE5F99">
        <w:t>we provide our view on the HST-SFN DPS transmission scheme. We have the following observations and proposals.</w:t>
      </w:r>
    </w:p>
    <w:bookmarkStart w:id="7" w:name="_GoBack"/>
    <w:p w14:paraId="3C8B5B1E" w14:textId="695C4978" w:rsidR="00FE5F99" w:rsidRPr="00FE5F99" w:rsidRDefault="00FE5F99" w:rsidP="006B1D92">
      <w:pPr>
        <w:adjustRightInd w:val="0"/>
        <w:snapToGrid w:val="0"/>
        <w:spacing w:before="180" w:after="120"/>
        <w:jc w:val="both"/>
        <w:rPr>
          <w:b/>
          <w:sz w:val="20"/>
          <w:szCs w:val="20"/>
          <w:lang w:eastAsia="x-none"/>
        </w:rPr>
      </w:pPr>
      <w:r w:rsidRPr="00FE5F99">
        <w:rPr>
          <w:b/>
          <w:sz w:val="20"/>
          <w:szCs w:val="20"/>
          <w:lang w:eastAsia="x-none"/>
        </w:rPr>
        <w:fldChar w:fldCharType="begin"/>
      </w:r>
      <w:r w:rsidRPr="00FE5F99">
        <w:rPr>
          <w:b/>
          <w:sz w:val="20"/>
          <w:szCs w:val="20"/>
          <w:lang w:eastAsia="x-none"/>
        </w:rPr>
        <w:instrText xml:space="preserve"> REF _Ref20684787 \h </w:instrText>
      </w:r>
      <w:r>
        <w:rPr>
          <w:b/>
          <w:sz w:val="20"/>
          <w:szCs w:val="20"/>
          <w:lang w:eastAsia="x-none"/>
        </w:rPr>
        <w:instrText xml:space="preserve"> \* MERGEFORMAT </w:instrText>
      </w:r>
      <w:r w:rsidRPr="00FE5F99">
        <w:rPr>
          <w:b/>
          <w:sz w:val="20"/>
          <w:szCs w:val="20"/>
          <w:lang w:eastAsia="x-none"/>
        </w:rPr>
      </w:r>
      <w:r w:rsidRPr="00FE5F99">
        <w:rPr>
          <w:b/>
          <w:sz w:val="20"/>
          <w:szCs w:val="20"/>
          <w:lang w:eastAsia="x-none"/>
        </w:rPr>
        <w:fldChar w:fldCharType="separate"/>
      </w:r>
      <w:r w:rsidR="00283877" w:rsidRPr="00283877">
        <w:rPr>
          <w:b/>
          <w:sz w:val="20"/>
          <w:szCs w:val="20"/>
          <w:lang w:eastAsia="x-none"/>
        </w:rPr>
        <w:t>Observation 1: DPS transmission scheme could achieve high system throughput by simultaneously transmitting signals from 2 Tx beams to different users.</w:t>
      </w:r>
      <w:r w:rsidRPr="00FE5F99">
        <w:rPr>
          <w:b/>
          <w:sz w:val="20"/>
          <w:szCs w:val="20"/>
          <w:lang w:eastAsia="x-none"/>
        </w:rPr>
        <w:fldChar w:fldCharType="end"/>
      </w:r>
    </w:p>
    <w:p w14:paraId="519BAC4D" w14:textId="147B5D22" w:rsidR="00FE5F99" w:rsidRPr="00FE5F99" w:rsidRDefault="00FE5F99" w:rsidP="006B1D92">
      <w:pPr>
        <w:adjustRightInd w:val="0"/>
        <w:snapToGrid w:val="0"/>
        <w:spacing w:before="180" w:after="120"/>
        <w:jc w:val="both"/>
        <w:rPr>
          <w:b/>
          <w:sz w:val="20"/>
          <w:szCs w:val="20"/>
          <w:lang w:eastAsia="x-none"/>
        </w:rPr>
      </w:pPr>
      <w:r w:rsidRPr="00FE5F99">
        <w:rPr>
          <w:b/>
          <w:sz w:val="20"/>
          <w:szCs w:val="20"/>
          <w:lang w:eastAsia="x-none"/>
        </w:rPr>
        <w:fldChar w:fldCharType="begin"/>
      </w:r>
      <w:r w:rsidRPr="00FE5F99">
        <w:rPr>
          <w:b/>
          <w:sz w:val="20"/>
          <w:szCs w:val="20"/>
          <w:lang w:eastAsia="x-none"/>
        </w:rPr>
        <w:instrText xml:space="preserve"> REF _Ref20684789 \h </w:instrText>
      </w:r>
      <w:r>
        <w:rPr>
          <w:b/>
          <w:sz w:val="20"/>
          <w:szCs w:val="20"/>
          <w:lang w:eastAsia="x-none"/>
        </w:rPr>
        <w:instrText xml:space="preserve"> \* MERGEFORMAT </w:instrText>
      </w:r>
      <w:r w:rsidRPr="00FE5F99">
        <w:rPr>
          <w:b/>
          <w:sz w:val="20"/>
          <w:szCs w:val="20"/>
          <w:lang w:eastAsia="x-none"/>
        </w:rPr>
      </w:r>
      <w:r w:rsidRPr="00FE5F99">
        <w:rPr>
          <w:b/>
          <w:sz w:val="20"/>
          <w:szCs w:val="20"/>
          <w:lang w:eastAsia="x-none"/>
        </w:rPr>
        <w:fldChar w:fldCharType="separate"/>
      </w:r>
      <w:r w:rsidR="00283877" w:rsidRPr="00283877">
        <w:rPr>
          <w:b/>
          <w:sz w:val="20"/>
          <w:szCs w:val="20"/>
          <w:lang w:eastAsia="x-none"/>
        </w:rPr>
        <w:t>Observation 2: Additional overhead for beam management needs to be considered in DPS transmission scheme, e.g., MAC CE based TCI-state switch for PDCCH and RRC based reconfiguration of CSI-RS for CQI reporting.</w:t>
      </w:r>
      <w:r w:rsidRPr="00FE5F99">
        <w:rPr>
          <w:b/>
          <w:sz w:val="20"/>
          <w:szCs w:val="20"/>
          <w:lang w:eastAsia="x-none"/>
        </w:rPr>
        <w:fldChar w:fldCharType="end"/>
      </w:r>
    </w:p>
    <w:p w14:paraId="673ABCDF" w14:textId="5BB0A157" w:rsidR="00FE5F99" w:rsidRPr="00FE5F99" w:rsidRDefault="00FE5F99" w:rsidP="006B1D92">
      <w:pPr>
        <w:adjustRightInd w:val="0"/>
        <w:snapToGrid w:val="0"/>
        <w:spacing w:before="180" w:after="120"/>
        <w:jc w:val="both"/>
        <w:rPr>
          <w:b/>
          <w:sz w:val="20"/>
          <w:szCs w:val="20"/>
          <w:lang w:eastAsia="x-none"/>
        </w:rPr>
      </w:pPr>
      <w:r w:rsidRPr="00FE5F99">
        <w:rPr>
          <w:b/>
          <w:sz w:val="20"/>
          <w:szCs w:val="20"/>
          <w:lang w:eastAsia="x-none"/>
        </w:rPr>
        <w:fldChar w:fldCharType="begin"/>
      </w:r>
      <w:r w:rsidRPr="00FE5F99">
        <w:rPr>
          <w:b/>
          <w:sz w:val="20"/>
          <w:szCs w:val="20"/>
          <w:lang w:eastAsia="x-none"/>
        </w:rPr>
        <w:instrText xml:space="preserve"> REF _Ref20684791 \h </w:instrText>
      </w:r>
      <w:r>
        <w:rPr>
          <w:b/>
          <w:sz w:val="20"/>
          <w:szCs w:val="20"/>
          <w:lang w:eastAsia="x-none"/>
        </w:rPr>
        <w:instrText xml:space="preserve"> \* MERGEFORMAT </w:instrText>
      </w:r>
      <w:r w:rsidRPr="00FE5F99">
        <w:rPr>
          <w:b/>
          <w:sz w:val="20"/>
          <w:szCs w:val="20"/>
          <w:lang w:eastAsia="x-none"/>
        </w:rPr>
      </w:r>
      <w:r w:rsidRPr="00FE5F99">
        <w:rPr>
          <w:b/>
          <w:sz w:val="20"/>
          <w:szCs w:val="20"/>
          <w:lang w:eastAsia="x-none"/>
        </w:rPr>
        <w:fldChar w:fldCharType="separate"/>
      </w:r>
      <w:r w:rsidR="00283877" w:rsidRPr="00283877">
        <w:rPr>
          <w:b/>
          <w:sz w:val="20"/>
          <w:szCs w:val="20"/>
          <w:lang w:eastAsia="x-none"/>
        </w:rPr>
        <w:t>Observation 3: Due to the limit of differential L1-RSRP report mapping, network has no idea about the L1-RSRP of the weaker beam when UE is much closed to the RRH.</w:t>
      </w:r>
      <w:r w:rsidRPr="00FE5F99">
        <w:rPr>
          <w:b/>
          <w:sz w:val="20"/>
          <w:szCs w:val="20"/>
          <w:lang w:eastAsia="x-none"/>
        </w:rPr>
        <w:fldChar w:fldCharType="end"/>
      </w:r>
    </w:p>
    <w:p w14:paraId="081D3FF0" w14:textId="25AB2ABF" w:rsidR="00FE5F99" w:rsidRPr="00FE5F99" w:rsidRDefault="00FE5F99" w:rsidP="006B1D92">
      <w:pPr>
        <w:adjustRightInd w:val="0"/>
        <w:snapToGrid w:val="0"/>
        <w:spacing w:before="180" w:after="120"/>
        <w:jc w:val="both"/>
        <w:rPr>
          <w:b/>
          <w:sz w:val="20"/>
          <w:szCs w:val="20"/>
          <w:lang w:eastAsia="x-none"/>
        </w:rPr>
      </w:pPr>
      <w:r w:rsidRPr="00FE5F99">
        <w:rPr>
          <w:b/>
          <w:sz w:val="20"/>
          <w:szCs w:val="20"/>
          <w:lang w:eastAsia="x-none"/>
        </w:rPr>
        <w:fldChar w:fldCharType="begin"/>
      </w:r>
      <w:r w:rsidRPr="00FE5F99">
        <w:rPr>
          <w:b/>
          <w:sz w:val="20"/>
          <w:szCs w:val="20"/>
          <w:lang w:eastAsia="x-none"/>
        </w:rPr>
        <w:instrText xml:space="preserve"> REF _Ref20684793 \h </w:instrText>
      </w:r>
      <w:r>
        <w:rPr>
          <w:b/>
          <w:sz w:val="20"/>
          <w:szCs w:val="20"/>
          <w:lang w:eastAsia="x-none"/>
        </w:rPr>
        <w:instrText xml:space="preserve"> \* MERGEFORMAT </w:instrText>
      </w:r>
      <w:r w:rsidRPr="00FE5F99">
        <w:rPr>
          <w:b/>
          <w:sz w:val="20"/>
          <w:szCs w:val="20"/>
          <w:lang w:eastAsia="x-none"/>
        </w:rPr>
      </w:r>
      <w:r w:rsidRPr="00FE5F99">
        <w:rPr>
          <w:b/>
          <w:sz w:val="20"/>
          <w:szCs w:val="20"/>
          <w:lang w:eastAsia="x-none"/>
        </w:rPr>
        <w:fldChar w:fldCharType="separate"/>
      </w:r>
      <w:r w:rsidR="00283877" w:rsidRPr="00283877">
        <w:rPr>
          <w:b/>
          <w:sz w:val="20"/>
          <w:szCs w:val="20"/>
          <w:lang w:eastAsia="x-none"/>
        </w:rPr>
        <w:t>Observation 4: Fail to trigger TCI-state switch when UE is much closed to RRH would results a poor decoding performance for an interval of 3 sec in every 7 sec. This is a high impact to user experience.</w:t>
      </w:r>
      <w:r w:rsidRPr="00FE5F99">
        <w:rPr>
          <w:b/>
          <w:sz w:val="20"/>
          <w:szCs w:val="20"/>
          <w:lang w:eastAsia="x-none"/>
        </w:rPr>
        <w:fldChar w:fldCharType="end"/>
      </w:r>
    </w:p>
    <w:p w14:paraId="17AC513E" w14:textId="06972F3B" w:rsidR="006E3812" w:rsidRPr="006E3812" w:rsidRDefault="00FE5F99" w:rsidP="00A90CEE">
      <w:pPr>
        <w:adjustRightInd w:val="0"/>
        <w:snapToGrid w:val="0"/>
        <w:spacing w:before="180" w:after="120"/>
        <w:jc w:val="both"/>
      </w:pPr>
      <w:r w:rsidRPr="00FE5F99">
        <w:rPr>
          <w:b/>
          <w:sz w:val="20"/>
          <w:szCs w:val="20"/>
          <w:lang w:eastAsia="x-none"/>
        </w:rPr>
        <w:fldChar w:fldCharType="begin"/>
      </w:r>
      <w:r w:rsidRPr="00FE5F99">
        <w:rPr>
          <w:b/>
          <w:sz w:val="20"/>
          <w:szCs w:val="20"/>
          <w:lang w:eastAsia="x-none"/>
        </w:rPr>
        <w:instrText xml:space="preserve"> REF _Ref20684798 \h </w:instrText>
      </w:r>
      <w:r>
        <w:rPr>
          <w:b/>
          <w:sz w:val="20"/>
          <w:szCs w:val="20"/>
          <w:lang w:eastAsia="x-none"/>
        </w:rPr>
        <w:instrText xml:space="preserve"> \* MERGEFORMAT </w:instrText>
      </w:r>
      <w:r w:rsidRPr="00FE5F99">
        <w:rPr>
          <w:b/>
          <w:sz w:val="20"/>
          <w:szCs w:val="20"/>
          <w:lang w:eastAsia="x-none"/>
        </w:rPr>
      </w:r>
      <w:r w:rsidRPr="00FE5F99">
        <w:rPr>
          <w:b/>
          <w:sz w:val="20"/>
          <w:szCs w:val="20"/>
          <w:lang w:eastAsia="x-none"/>
        </w:rPr>
        <w:fldChar w:fldCharType="separate"/>
      </w:r>
      <w:r w:rsidR="00283877" w:rsidRPr="00283877">
        <w:rPr>
          <w:b/>
          <w:sz w:val="20"/>
          <w:szCs w:val="20"/>
          <w:lang w:eastAsia="x-none"/>
        </w:rPr>
        <w:t>Proposal 1: RAN4 to consider other DPS transmission schemes to avoid TCI-state switch when UE is much closed to the RRH.</w:t>
      </w:r>
      <w:r w:rsidRPr="00FE5F99">
        <w:rPr>
          <w:b/>
          <w:sz w:val="20"/>
          <w:szCs w:val="20"/>
          <w:lang w:eastAsia="x-none"/>
        </w:rPr>
        <w:fldChar w:fldCharType="end"/>
      </w:r>
      <w:bookmarkEnd w:id="7"/>
    </w:p>
    <w:p w14:paraId="2F0A9587" w14:textId="3DEC21DC" w:rsidR="00D63646" w:rsidRDefault="000F20AC" w:rsidP="0012659B">
      <w:pPr>
        <w:pStyle w:val="Heading1"/>
        <w:numPr>
          <w:ilvl w:val="0"/>
          <w:numId w:val="1"/>
        </w:numPr>
        <w:rPr>
          <w:rFonts w:ascii="Calibri" w:hAnsi="Calibri"/>
        </w:rPr>
      </w:pPr>
      <w:r w:rsidRPr="000C45FD">
        <w:rPr>
          <w:rFonts w:ascii="Calibri" w:hAnsi="Calibri"/>
        </w:rPr>
        <w:t>References</w:t>
      </w:r>
    </w:p>
    <w:p w14:paraId="4A8725F5" w14:textId="05727D8C" w:rsidR="00D63646" w:rsidRDefault="00D63646" w:rsidP="00DB2B61">
      <w:pPr>
        <w:rPr>
          <w:lang w:val="en-GB" w:eastAsia="en-US"/>
        </w:rPr>
      </w:pPr>
      <w:r>
        <w:rPr>
          <w:lang w:val="en-GB" w:eastAsia="en-US"/>
        </w:rPr>
        <w:t xml:space="preserve">[1] </w:t>
      </w:r>
      <w:r w:rsidR="006B1D92" w:rsidRPr="006B1D92">
        <w:rPr>
          <w:lang w:val="en-GB" w:eastAsia="en-US"/>
        </w:rPr>
        <w:t>R4-1909990</w:t>
      </w:r>
      <w:r w:rsidR="006B1D92">
        <w:rPr>
          <w:lang w:val="en-GB" w:eastAsia="en-US"/>
        </w:rPr>
        <w:t>, “</w:t>
      </w:r>
      <w:r w:rsidR="006B1D92" w:rsidRPr="006B1D92">
        <w:rPr>
          <w:lang w:val="en-GB" w:eastAsia="en-US"/>
        </w:rPr>
        <w:t>Ad hoc minutes for NR high speed enhancement</w:t>
      </w:r>
      <w:r w:rsidR="001263EF">
        <w:rPr>
          <w:lang w:val="en-GB" w:eastAsia="en-US"/>
        </w:rPr>
        <w:t>”, CMCC</w:t>
      </w:r>
    </w:p>
    <w:p w14:paraId="1174AD73" w14:textId="1DECF13E" w:rsidR="005C78A5" w:rsidRPr="00D63646" w:rsidRDefault="005C78A5" w:rsidP="00DB2B61">
      <w:pPr>
        <w:rPr>
          <w:lang w:val="en-GB" w:eastAsia="en-US"/>
        </w:rPr>
      </w:pPr>
      <w:r>
        <w:rPr>
          <w:lang w:val="en-GB" w:eastAsia="en-US"/>
        </w:rPr>
        <w:t xml:space="preserve">[2] </w:t>
      </w:r>
      <w:r w:rsidRPr="005C78A5">
        <w:rPr>
          <w:lang w:val="en-GB" w:eastAsia="en-US"/>
        </w:rPr>
        <w:t>R4-1910826</w:t>
      </w:r>
      <w:r>
        <w:rPr>
          <w:lang w:val="en-GB" w:eastAsia="en-US"/>
        </w:rPr>
        <w:t>, “</w:t>
      </w:r>
      <w:r>
        <w:t>Discussion on feasibility of NR HST with DPS transmission</w:t>
      </w:r>
      <w:r>
        <w:rPr>
          <w:lang w:val="en-GB" w:eastAsia="en-US"/>
        </w:rPr>
        <w:t>”, MediaTek inc.</w:t>
      </w:r>
    </w:p>
    <w:sectPr w:rsidR="005C78A5" w:rsidRPr="00D6364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30B60" w14:textId="77777777" w:rsidR="00BD0BAB" w:rsidRDefault="00BD0BAB">
      <w:r>
        <w:separator/>
      </w:r>
    </w:p>
  </w:endnote>
  <w:endnote w:type="continuationSeparator" w:id="0">
    <w:p w14:paraId="3FAC7863" w14:textId="77777777" w:rsidR="00BD0BAB" w:rsidRDefault="00BD0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4A42F" w14:textId="77777777" w:rsidR="00BD0BAB" w:rsidRDefault="00BD0BAB">
      <w:r>
        <w:separator/>
      </w:r>
    </w:p>
  </w:footnote>
  <w:footnote w:type="continuationSeparator" w:id="0">
    <w:p w14:paraId="3C27E587" w14:textId="77777777" w:rsidR="00BD0BAB" w:rsidRDefault="00BD0B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 w15:restartNumberingAfterBreak="0">
    <w:nsid w:val="62E770A9"/>
    <w:multiLevelType w:val="hybridMultilevel"/>
    <w:tmpl w:val="C944E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FDF"/>
    <w:rsid w:val="0000708A"/>
    <w:rsid w:val="0000719E"/>
    <w:rsid w:val="000074B7"/>
    <w:rsid w:val="000074C4"/>
    <w:rsid w:val="00010086"/>
    <w:rsid w:val="00010823"/>
    <w:rsid w:val="00011779"/>
    <w:rsid w:val="00011AE1"/>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3C2"/>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6AE"/>
    <w:rsid w:val="000339EA"/>
    <w:rsid w:val="00033A47"/>
    <w:rsid w:val="000345EB"/>
    <w:rsid w:val="000347B1"/>
    <w:rsid w:val="00034AD2"/>
    <w:rsid w:val="00034FF2"/>
    <w:rsid w:val="00035AC1"/>
    <w:rsid w:val="0003672F"/>
    <w:rsid w:val="0003683B"/>
    <w:rsid w:val="00037056"/>
    <w:rsid w:val="000373B5"/>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581"/>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6BA"/>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CE3"/>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1A7F"/>
    <w:rsid w:val="000C22E1"/>
    <w:rsid w:val="000C28E3"/>
    <w:rsid w:val="000C2D07"/>
    <w:rsid w:val="000C2D18"/>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8E"/>
    <w:rsid w:val="000D38C0"/>
    <w:rsid w:val="000D3912"/>
    <w:rsid w:val="000D4B1B"/>
    <w:rsid w:val="000D4F32"/>
    <w:rsid w:val="000D56E8"/>
    <w:rsid w:val="000D59AC"/>
    <w:rsid w:val="000D5A2D"/>
    <w:rsid w:val="000D6323"/>
    <w:rsid w:val="000D6626"/>
    <w:rsid w:val="000D6D54"/>
    <w:rsid w:val="000D6FFB"/>
    <w:rsid w:val="000D7412"/>
    <w:rsid w:val="000D7D65"/>
    <w:rsid w:val="000E02E1"/>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642"/>
    <w:rsid w:val="00100AAE"/>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4E47"/>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394"/>
    <w:rsid w:val="0011780E"/>
    <w:rsid w:val="00117DA7"/>
    <w:rsid w:val="00120801"/>
    <w:rsid w:val="00120888"/>
    <w:rsid w:val="00120A1A"/>
    <w:rsid w:val="00120A81"/>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63EF"/>
    <w:rsid w:val="0012659B"/>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13B"/>
    <w:rsid w:val="00141644"/>
    <w:rsid w:val="00141B12"/>
    <w:rsid w:val="00141B7B"/>
    <w:rsid w:val="00141BAC"/>
    <w:rsid w:val="001428CA"/>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ED5"/>
    <w:rsid w:val="00173F96"/>
    <w:rsid w:val="00174A1D"/>
    <w:rsid w:val="00174EC2"/>
    <w:rsid w:val="0017551C"/>
    <w:rsid w:val="001756C2"/>
    <w:rsid w:val="00175715"/>
    <w:rsid w:val="00175CD8"/>
    <w:rsid w:val="00175DE8"/>
    <w:rsid w:val="00176645"/>
    <w:rsid w:val="00176ED6"/>
    <w:rsid w:val="00177943"/>
    <w:rsid w:val="00180811"/>
    <w:rsid w:val="0018082A"/>
    <w:rsid w:val="00180C85"/>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44F"/>
    <w:rsid w:val="0019461B"/>
    <w:rsid w:val="00194B45"/>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63E"/>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625"/>
    <w:rsid w:val="001D4863"/>
    <w:rsid w:val="001D48F6"/>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CF2"/>
    <w:rsid w:val="001E24A5"/>
    <w:rsid w:val="001E26AE"/>
    <w:rsid w:val="001E2B47"/>
    <w:rsid w:val="001E2BD4"/>
    <w:rsid w:val="001E2C4C"/>
    <w:rsid w:val="001E48F4"/>
    <w:rsid w:val="001E5143"/>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670"/>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A5"/>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5E3"/>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58"/>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0E93"/>
    <w:rsid w:val="00281542"/>
    <w:rsid w:val="002818D5"/>
    <w:rsid w:val="00281C59"/>
    <w:rsid w:val="00282ACE"/>
    <w:rsid w:val="00282B68"/>
    <w:rsid w:val="00282EB8"/>
    <w:rsid w:val="00283083"/>
    <w:rsid w:val="00283311"/>
    <w:rsid w:val="00283877"/>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3F2"/>
    <w:rsid w:val="00293688"/>
    <w:rsid w:val="00294B67"/>
    <w:rsid w:val="00294E8F"/>
    <w:rsid w:val="00296DC9"/>
    <w:rsid w:val="00297370"/>
    <w:rsid w:val="00297912"/>
    <w:rsid w:val="00297BFB"/>
    <w:rsid w:val="00297CDF"/>
    <w:rsid w:val="002A00D4"/>
    <w:rsid w:val="002A00DD"/>
    <w:rsid w:val="002A0393"/>
    <w:rsid w:val="002A0A2F"/>
    <w:rsid w:val="002A14C6"/>
    <w:rsid w:val="002A1A31"/>
    <w:rsid w:val="002A1D45"/>
    <w:rsid w:val="002A1F6A"/>
    <w:rsid w:val="002A23D9"/>
    <w:rsid w:val="002A244F"/>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816"/>
    <w:rsid w:val="002C3C8A"/>
    <w:rsid w:val="002C5A0A"/>
    <w:rsid w:val="002C5CC9"/>
    <w:rsid w:val="002C61AC"/>
    <w:rsid w:val="002C61F4"/>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3A10"/>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B43"/>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319"/>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B7F77"/>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40E"/>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3F7C17"/>
    <w:rsid w:val="0040074F"/>
    <w:rsid w:val="0040078C"/>
    <w:rsid w:val="00400845"/>
    <w:rsid w:val="00400AE2"/>
    <w:rsid w:val="00400C30"/>
    <w:rsid w:val="004013FF"/>
    <w:rsid w:val="00401FB3"/>
    <w:rsid w:val="00402C3B"/>
    <w:rsid w:val="004033E0"/>
    <w:rsid w:val="004034B1"/>
    <w:rsid w:val="00403BE3"/>
    <w:rsid w:val="00403C73"/>
    <w:rsid w:val="00403D9F"/>
    <w:rsid w:val="00404104"/>
    <w:rsid w:val="00404532"/>
    <w:rsid w:val="004046A7"/>
    <w:rsid w:val="0040471B"/>
    <w:rsid w:val="00404A78"/>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3E5B"/>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0087"/>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649"/>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A2B"/>
    <w:rsid w:val="00472DBC"/>
    <w:rsid w:val="00473924"/>
    <w:rsid w:val="00474107"/>
    <w:rsid w:val="00474255"/>
    <w:rsid w:val="004742DF"/>
    <w:rsid w:val="00474A34"/>
    <w:rsid w:val="00474D53"/>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47"/>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DDC"/>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5B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8AC"/>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E775A"/>
    <w:rsid w:val="004F00EC"/>
    <w:rsid w:val="004F02D8"/>
    <w:rsid w:val="004F0D2A"/>
    <w:rsid w:val="004F0DB4"/>
    <w:rsid w:val="004F1097"/>
    <w:rsid w:val="004F1321"/>
    <w:rsid w:val="004F1A95"/>
    <w:rsid w:val="004F2ADF"/>
    <w:rsid w:val="004F3489"/>
    <w:rsid w:val="004F3B3E"/>
    <w:rsid w:val="004F4ED7"/>
    <w:rsid w:val="004F5025"/>
    <w:rsid w:val="004F53B8"/>
    <w:rsid w:val="004F5835"/>
    <w:rsid w:val="004F5A41"/>
    <w:rsid w:val="004F5B88"/>
    <w:rsid w:val="004F5C7E"/>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7B4"/>
    <w:rsid w:val="00520899"/>
    <w:rsid w:val="00521084"/>
    <w:rsid w:val="00521BFC"/>
    <w:rsid w:val="00522281"/>
    <w:rsid w:val="00522391"/>
    <w:rsid w:val="005237A4"/>
    <w:rsid w:val="00523F0C"/>
    <w:rsid w:val="00524AC6"/>
    <w:rsid w:val="00524D70"/>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1DCE"/>
    <w:rsid w:val="0054246B"/>
    <w:rsid w:val="005424D2"/>
    <w:rsid w:val="005442D9"/>
    <w:rsid w:val="00544566"/>
    <w:rsid w:val="00544E9B"/>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2D"/>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431"/>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5B1"/>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4D"/>
    <w:rsid w:val="005C3969"/>
    <w:rsid w:val="005C4281"/>
    <w:rsid w:val="005C4450"/>
    <w:rsid w:val="005C502F"/>
    <w:rsid w:val="005C5A64"/>
    <w:rsid w:val="005C5ED7"/>
    <w:rsid w:val="005C5F96"/>
    <w:rsid w:val="005C61A7"/>
    <w:rsid w:val="005C6A95"/>
    <w:rsid w:val="005C6E40"/>
    <w:rsid w:val="005C748C"/>
    <w:rsid w:val="005C78A5"/>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9C8"/>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6B1"/>
    <w:rsid w:val="00600723"/>
    <w:rsid w:val="00600D82"/>
    <w:rsid w:val="006017E3"/>
    <w:rsid w:val="00601914"/>
    <w:rsid w:val="00601AA7"/>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0E7D"/>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B68"/>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75E"/>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310"/>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EA5"/>
    <w:rsid w:val="00695DD6"/>
    <w:rsid w:val="00696363"/>
    <w:rsid w:val="006965BF"/>
    <w:rsid w:val="00696A90"/>
    <w:rsid w:val="00697717"/>
    <w:rsid w:val="00697E11"/>
    <w:rsid w:val="006A0044"/>
    <w:rsid w:val="006A054A"/>
    <w:rsid w:val="006A0665"/>
    <w:rsid w:val="006A0801"/>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1D92"/>
    <w:rsid w:val="006B23E0"/>
    <w:rsid w:val="006B2A65"/>
    <w:rsid w:val="006B2BEE"/>
    <w:rsid w:val="006B2EDC"/>
    <w:rsid w:val="006B3106"/>
    <w:rsid w:val="006B3406"/>
    <w:rsid w:val="006B3812"/>
    <w:rsid w:val="006B3ED4"/>
    <w:rsid w:val="006B4156"/>
    <w:rsid w:val="006B4277"/>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178E"/>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01C"/>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C1C"/>
    <w:rsid w:val="006E2DB5"/>
    <w:rsid w:val="006E3812"/>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07A2B"/>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40AC"/>
    <w:rsid w:val="0073413F"/>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2A05"/>
    <w:rsid w:val="00743083"/>
    <w:rsid w:val="00743113"/>
    <w:rsid w:val="007438F4"/>
    <w:rsid w:val="00743F02"/>
    <w:rsid w:val="007440A3"/>
    <w:rsid w:val="007445F4"/>
    <w:rsid w:val="00744B32"/>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0676"/>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E62"/>
    <w:rsid w:val="007600E5"/>
    <w:rsid w:val="007605C4"/>
    <w:rsid w:val="0076110B"/>
    <w:rsid w:val="00761C49"/>
    <w:rsid w:val="007623B3"/>
    <w:rsid w:val="007629FC"/>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5BA"/>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42A"/>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471"/>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456D"/>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43D4"/>
    <w:rsid w:val="007D4A01"/>
    <w:rsid w:val="007D4F35"/>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B9B"/>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5D7"/>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271"/>
    <w:rsid w:val="00875410"/>
    <w:rsid w:val="00875CEF"/>
    <w:rsid w:val="008767A3"/>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7BA"/>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9C1"/>
    <w:rsid w:val="008A4A39"/>
    <w:rsid w:val="008A4BE7"/>
    <w:rsid w:val="008A4C23"/>
    <w:rsid w:val="008A4C2D"/>
    <w:rsid w:val="008A6920"/>
    <w:rsid w:val="008B042F"/>
    <w:rsid w:val="008B06B4"/>
    <w:rsid w:val="008B0A66"/>
    <w:rsid w:val="008B0F94"/>
    <w:rsid w:val="008B1B15"/>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2C"/>
    <w:rsid w:val="008D1CB3"/>
    <w:rsid w:val="008D267A"/>
    <w:rsid w:val="008D2BEA"/>
    <w:rsid w:val="008D316D"/>
    <w:rsid w:val="008D33D5"/>
    <w:rsid w:val="008D39F4"/>
    <w:rsid w:val="008D3B29"/>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C9"/>
    <w:rsid w:val="009808EF"/>
    <w:rsid w:val="0098096E"/>
    <w:rsid w:val="00980FF5"/>
    <w:rsid w:val="009810E6"/>
    <w:rsid w:val="00981F78"/>
    <w:rsid w:val="00982761"/>
    <w:rsid w:val="00982C10"/>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C7BCF"/>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0EDD"/>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CE"/>
    <w:rsid w:val="009F3D87"/>
    <w:rsid w:val="009F4CFF"/>
    <w:rsid w:val="009F5A15"/>
    <w:rsid w:val="009F6437"/>
    <w:rsid w:val="009F7693"/>
    <w:rsid w:val="009F7762"/>
    <w:rsid w:val="009F77D3"/>
    <w:rsid w:val="009F78C2"/>
    <w:rsid w:val="009F7D66"/>
    <w:rsid w:val="00A00F75"/>
    <w:rsid w:val="00A015A8"/>
    <w:rsid w:val="00A016DA"/>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57F"/>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3B"/>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1F"/>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4F"/>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4CD"/>
    <w:rsid w:val="00A81AD8"/>
    <w:rsid w:val="00A82317"/>
    <w:rsid w:val="00A8293D"/>
    <w:rsid w:val="00A83337"/>
    <w:rsid w:val="00A83BE5"/>
    <w:rsid w:val="00A83EDB"/>
    <w:rsid w:val="00A83F92"/>
    <w:rsid w:val="00A842E9"/>
    <w:rsid w:val="00A84B1E"/>
    <w:rsid w:val="00A84B80"/>
    <w:rsid w:val="00A84CAA"/>
    <w:rsid w:val="00A84F70"/>
    <w:rsid w:val="00A85097"/>
    <w:rsid w:val="00A853AE"/>
    <w:rsid w:val="00A85568"/>
    <w:rsid w:val="00A856CA"/>
    <w:rsid w:val="00A85DD1"/>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6FC7"/>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0A46"/>
    <w:rsid w:val="00AE1996"/>
    <w:rsid w:val="00AE1B78"/>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7D0"/>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697"/>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B7B"/>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5FAD"/>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AA7"/>
    <w:rsid w:val="00BC613B"/>
    <w:rsid w:val="00BC655E"/>
    <w:rsid w:val="00BC6642"/>
    <w:rsid w:val="00BC6C67"/>
    <w:rsid w:val="00BC6E7E"/>
    <w:rsid w:val="00BC78C6"/>
    <w:rsid w:val="00BC7D6B"/>
    <w:rsid w:val="00BC7F1F"/>
    <w:rsid w:val="00BD0600"/>
    <w:rsid w:val="00BD0BAB"/>
    <w:rsid w:val="00BD1589"/>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0BE"/>
    <w:rsid w:val="00BE0287"/>
    <w:rsid w:val="00BE02A5"/>
    <w:rsid w:val="00BE02B4"/>
    <w:rsid w:val="00BE062D"/>
    <w:rsid w:val="00BE0A5A"/>
    <w:rsid w:val="00BE1003"/>
    <w:rsid w:val="00BE10C3"/>
    <w:rsid w:val="00BE126C"/>
    <w:rsid w:val="00BE14E1"/>
    <w:rsid w:val="00BE167C"/>
    <w:rsid w:val="00BE1822"/>
    <w:rsid w:val="00BE1946"/>
    <w:rsid w:val="00BE1C28"/>
    <w:rsid w:val="00BE21FC"/>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7F5"/>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052A"/>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AC7"/>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262"/>
    <w:rsid w:val="00C26918"/>
    <w:rsid w:val="00C26B37"/>
    <w:rsid w:val="00C26D4D"/>
    <w:rsid w:val="00C26D51"/>
    <w:rsid w:val="00C26E8C"/>
    <w:rsid w:val="00C27FF2"/>
    <w:rsid w:val="00C306DF"/>
    <w:rsid w:val="00C30B02"/>
    <w:rsid w:val="00C30FC4"/>
    <w:rsid w:val="00C3129C"/>
    <w:rsid w:val="00C31B10"/>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E3A"/>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46"/>
    <w:rsid w:val="00C60FAF"/>
    <w:rsid w:val="00C61486"/>
    <w:rsid w:val="00C6163E"/>
    <w:rsid w:val="00C61E49"/>
    <w:rsid w:val="00C62065"/>
    <w:rsid w:val="00C62965"/>
    <w:rsid w:val="00C62AD9"/>
    <w:rsid w:val="00C6341D"/>
    <w:rsid w:val="00C635B9"/>
    <w:rsid w:val="00C63B3B"/>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CD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044"/>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594"/>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E17"/>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C8A"/>
    <w:rsid w:val="00CF2DBC"/>
    <w:rsid w:val="00CF2F4F"/>
    <w:rsid w:val="00CF31F1"/>
    <w:rsid w:val="00CF3807"/>
    <w:rsid w:val="00CF38DC"/>
    <w:rsid w:val="00CF3A2E"/>
    <w:rsid w:val="00CF3E4F"/>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0FE4"/>
    <w:rsid w:val="00D110AE"/>
    <w:rsid w:val="00D11359"/>
    <w:rsid w:val="00D11641"/>
    <w:rsid w:val="00D11C98"/>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18E"/>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6E43"/>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645"/>
    <w:rsid w:val="00D72741"/>
    <w:rsid w:val="00D7286C"/>
    <w:rsid w:val="00D73080"/>
    <w:rsid w:val="00D735F5"/>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59E2"/>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D68"/>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202"/>
    <w:rsid w:val="00DB0457"/>
    <w:rsid w:val="00DB045F"/>
    <w:rsid w:val="00DB05E9"/>
    <w:rsid w:val="00DB0615"/>
    <w:rsid w:val="00DB1060"/>
    <w:rsid w:val="00DB1730"/>
    <w:rsid w:val="00DB1CD6"/>
    <w:rsid w:val="00DB2B61"/>
    <w:rsid w:val="00DB2CFE"/>
    <w:rsid w:val="00DB2EFC"/>
    <w:rsid w:val="00DB32E8"/>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3F54"/>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3D1F"/>
    <w:rsid w:val="00E34810"/>
    <w:rsid w:val="00E34909"/>
    <w:rsid w:val="00E34AE8"/>
    <w:rsid w:val="00E35A29"/>
    <w:rsid w:val="00E36347"/>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26"/>
    <w:rsid w:val="00E56BE0"/>
    <w:rsid w:val="00E56C5E"/>
    <w:rsid w:val="00E56EB7"/>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45B0"/>
    <w:rsid w:val="00E85201"/>
    <w:rsid w:val="00E85307"/>
    <w:rsid w:val="00E85C2C"/>
    <w:rsid w:val="00E85D04"/>
    <w:rsid w:val="00E861C8"/>
    <w:rsid w:val="00E8659C"/>
    <w:rsid w:val="00E87572"/>
    <w:rsid w:val="00E9088E"/>
    <w:rsid w:val="00E9244C"/>
    <w:rsid w:val="00E92758"/>
    <w:rsid w:val="00E928D8"/>
    <w:rsid w:val="00E92E8B"/>
    <w:rsid w:val="00E933B6"/>
    <w:rsid w:val="00E937BC"/>
    <w:rsid w:val="00E93B23"/>
    <w:rsid w:val="00E93CDE"/>
    <w:rsid w:val="00E93D15"/>
    <w:rsid w:val="00E94255"/>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16"/>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325"/>
    <w:rsid w:val="00EB58AE"/>
    <w:rsid w:val="00EB663B"/>
    <w:rsid w:val="00EB6888"/>
    <w:rsid w:val="00EB6F9E"/>
    <w:rsid w:val="00EB79BE"/>
    <w:rsid w:val="00EB7E44"/>
    <w:rsid w:val="00EC0153"/>
    <w:rsid w:val="00EC0496"/>
    <w:rsid w:val="00EC0627"/>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75"/>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B0"/>
    <w:rsid w:val="00EF47C7"/>
    <w:rsid w:val="00EF4858"/>
    <w:rsid w:val="00EF5A32"/>
    <w:rsid w:val="00EF5B80"/>
    <w:rsid w:val="00EF6954"/>
    <w:rsid w:val="00EF6FE8"/>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035"/>
    <w:rsid w:val="00F1416E"/>
    <w:rsid w:val="00F143D5"/>
    <w:rsid w:val="00F14F43"/>
    <w:rsid w:val="00F15DB4"/>
    <w:rsid w:val="00F15F33"/>
    <w:rsid w:val="00F1672E"/>
    <w:rsid w:val="00F16BAF"/>
    <w:rsid w:val="00F16D27"/>
    <w:rsid w:val="00F16E9B"/>
    <w:rsid w:val="00F17876"/>
    <w:rsid w:val="00F179C6"/>
    <w:rsid w:val="00F179F9"/>
    <w:rsid w:val="00F20542"/>
    <w:rsid w:val="00F205F3"/>
    <w:rsid w:val="00F2061C"/>
    <w:rsid w:val="00F20C59"/>
    <w:rsid w:val="00F20E93"/>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30F"/>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4A09"/>
    <w:rsid w:val="00F3680A"/>
    <w:rsid w:val="00F3697A"/>
    <w:rsid w:val="00F36CD9"/>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4E27"/>
    <w:rsid w:val="00F4537E"/>
    <w:rsid w:val="00F45BAC"/>
    <w:rsid w:val="00F466A4"/>
    <w:rsid w:val="00F467DA"/>
    <w:rsid w:val="00F46905"/>
    <w:rsid w:val="00F46B2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234"/>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2A0"/>
    <w:rsid w:val="00F7670E"/>
    <w:rsid w:val="00F769A8"/>
    <w:rsid w:val="00F7762C"/>
    <w:rsid w:val="00F776C4"/>
    <w:rsid w:val="00F778D7"/>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3F7E"/>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466"/>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B9A"/>
    <w:rsid w:val="00FD294C"/>
    <w:rsid w:val="00FD2E86"/>
    <w:rsid w:val="00FD385F"/>
    <w:rsid w:val="00FD39C8"/>
    <w:rsid w:val="00FD3D0B"/>
    <w:rsid w:val="00FD3DB9"/>
    <w:rsid w:val="00FD409B"/>
    <w:rsid w:val="00FD4C08"/>
    <w:rsid w:val="00FD504A"/>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2D52"/>
    <w:rsid w:val="00FE2D98"/>
    <w:rsid w:val="00FE30BC"/>
    <w:rsid w:val="00FE380A"/>
    <w:rsid w:val="00FE3CDD"/>
    <w:rsid w:val="00FE4DBB"/>
    <w:rsid w:val="00FE536D"/>
    <w:rsid w:val="00FE5F99"/>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877"/>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838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387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customStyle="1" w:styleId="CRCoverPageChar">
    <w:name w:val="CR Cover Page Char"/>
    <w:link w:val="CRCoverPage"/>
    <w:rsid w:val="00F20E93"/>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2239475">
      <w:bodyDiv w:val="1"/>
      <w:marLeft w:val="0"/>
      <w:marRight w:val="0"/>
      <w:marTop w:val="0"/>
      <w:marBottom w:val="0"/>
      <w:divBdr>
        <w:top w:val="none" w:sz="0" w:space="0" w:color="auto"/>
        <w:left w:val="none" w:sz="0" w:space="0" w:color="auto"/>
        <w:bottom w:val="none" w:sz="0" w:space="0" w:color="auto"/>
        <w:right w:val="none" w:sz="0" w:space="0" w:color="auto"/>
      </w:divBdr>
    </w:div>
    <w:div w:id="132873056">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683994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3990910">
      <w:bodyDiv w:val="1"/>
      <w:marLeft w:val="0"/>
      <w:marRight w:val="0"/>
      <w:marTop w:val="0"/>
      <w:marBottom w:val="0"/>
      <w:divBdr>
        <w:top w:val="none" w:sz="0" w:space="0" w:color="auto"/>
        <w:left w:val="none" w:sz="0" w:space="0" w:color="auto"/>
        <w:bottom w:val="none" w:sz="0" w:space="0" w:color="auto"/>
        <w:right w:val="none" w:sz="0" w:space="0" w:color="auto"/>
      </w:divBdr>
      <w:divsChild>
        <w:div w:id="69230961">
          <w:marLeft w:val="1166"/>
          <w:marRight w:val="0"/>
          <w:marTop w:val="96"/>
          <w:marBottom w:val="0"/>
          <w:divBdr>
            <w:top w:val="none" w:sz="0" w:space="0" w:color="auto"/>
            <w:left w:val="none" w:sz="0" w:space="0" w:color="auto"/>
            <w:bottom w:val="none" w:sz="0" w:space="0" w:color="auto"/>
            <w:right w:val="none" w:sz="0" w:space="0" w:color="auto"/>
          </w:divBdr>
        </w:div>
        <w:div w:id="1067067226">
          <w:marLeft w:val="1800"/>
          <w:marRight w:val="0"/>
          <w:marTop w:val="77"/>
          <w:marBottom w:val="0"/>
          <w:divBdr>
            <w:top w:val="none" w:sz="0" w:space="0" w:color="auto"/>
            <w:left w:val="none" w:sz="0" w:space="0" w:color="auto"/>
            <w:bottom w:val="none" w:sz="0" w:space="0" w:color="auto"/>
            <w:right w:val="none" w:sz="0" w:space="0" w:color="auto"/>
          </w:divBdr>
        </w:div>
        <w:div w:id="1596402621">
          <w:marLeft w:val="1800"/>
          <w:marRight w:val="0"/>
          <w:marTop w:val="77"/>
          <w:marBottom w:val="0"/>
          <w:divBdr>
            <w:top w:val="none" w:sz="0" w:space="0" w:color="auto"/>
            <w:left w:val="none" w:sz="0" w:space="0" w:color="auto"/>
            <w:bottom w:val="none" w:sz="0" w:space="0" w:color="auto"/>
            <w:right w:val="none" w:sz="0" w:space="0" w:color="auto"/>
          </w:divBdr>
        </w:div>
        <w:div w:id="1895043770">
          <w:marLeft w:val="1800"/>
          <w:marRight w:val="0"/>
          <w:marTop w:val="77"/>
          <w:marBottom w:val="0"/>
          <w:divBdr>
            <w:top w:val="none" w:sz="0" w:space="0" w:color="auto"/>
            <w:left w:val="none" w:sz="0" w:space="0" w:color="auto"/>
            <w:bottom w:val="none" w:sz="0" w:space="0" w:color="auto"/>
            <w:right w:val="none" w:sz="0" w:space="0" w:color="auto"/>
          </w:divBdr>
        </w:div>
        <w:div w:id="77214248">
          <w:marLeft w:val="1800"/>
          <w:marRight w:val="0"/>
          <w:marTop w:val="77"/>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26450">
      <w:bodyDiv w:val="1"/>
      <w:marLeft w:val="0"/>
      <w:marRight w:val="0"/>
      <w:marTop w:val="0"/>
      <w:marBottom w:val="0"/>
      <w:divBdr>
        <w:top w:val="none" w:sz="0" w:space="0" w:color="auto"/>
        <w:left w:val="none" w:sz="0" w:space="0" w:color="auto"/>
        <w:bottom w:val="none" w:sz="0" w:space="0" w:color="auto"/>
        <w:right w:val="none" w:sz="0" w:space="0" w:color="auto"/>
      </w:divBdr>
      <w:divsChild>
        <w:div w:id="629168166">
          <w:marLeft w:val="1166"/>
          <w:marRight w:val="0"/>
          <w:marTop w:val="96"/>
          <w:marBottom w:val="0"/>
          <w:divBdr>
            <w:top w:val="none" w:sz="0" w:space="0" w:color="auto"/>
            <w:left w:val="none" w:sz="0" w:space="0" w:color="auto"/>
            <w:bottom w:val="none" w:sz="0" w:space="0" w:color="auto"/>
            <w:right w:val="none" w:sz="0" w:space="0" w:color="auto"/>
          </w:divBdr>
        </w:div>
        <w:div w:id="1317104734">
          <w:marLeft w:val="1800"/>
          <w:marRight w:val="0"/>
          <w:marTop w:val="77"/>
          <w:marBottom w:val="0"/>
          <w:divBdr>
            <w:top w:val="none" w:sz="0" w:space="0" w:color="auto"/>
            <w:left w:val="none" w:sz="0" w:space="0" w:color="auto"/>
            <w:bottom w:val="none" w:sz="0" w:space="0" w:color="auto"/>
            <w:right w:val="none" w:sz="0" w:space="0" w:color="auto"/>
          </w:divBdr>
        </w:div>
        <w:div w:id="1680349149">
          <w:marLeft w:val="1800"/>
          <w:marRight w:val="0"/>
          <w:marTop w:val="77"/>
          <w:marBottom w:val="0"/>
          <w:divBdr>
            <w:top w:val="none" w:sz="0" w:space="0" w:color="auto"/>
            <w:left w:val="none" w:sz="0" w:space="0" w:color="auto"/>
            <w:bottom w:val="none" w:sz="0" w:space="0" w:color="auto"/>
            <w:right w:val="none" w:sz="0" w:space="0" w:color="auto"/>
          </w:divBdr>
        </w:div>
        <w:div w:id="1572545171">
          <w:marLeft w:val="1800"/>
          <w:marRight w:val="0"/>
          <w:marTop w:val="77"/>
          <w:marBottom w:val="0"/>
          <w:divBdr>
            <w:top w:val="none" w:sz="0" w:space="0" w:color="auto"/>
            <w:left w:val="none" w:sz="0" w:space="0" w:color="auto"/>
            <w:bottom w:val="none" w:sz="0" w:space="0" w:color="auto"/>
            <w:right w:val="none" w:sz="0" w:space="0" w:color="auto"/>
          </w:divBdr>
        </w:div>
      </w:divsChild>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990444">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1837555">
      <w:bodyDiv w:val="1"/>
      <w:marLeft w:val="0"/>
      <w:marRight w:val="0"/>
      <w:marTop w:val="0"/>
      <w:marBottom w:val="0"/>
      <w:divBdr>
        <w:top w:val="none" w:sz="0" w:space="0" w:color="auto"/>
        <w:left w:val="none" w:sz="0" w:space="0" w:color="auto"/>
        <w:bottom w:val="none" w:sz="0" w:space="0" w:color="auto"/>
        <w:right w:val="none" w:sz="0" w:space="0" w:color="auto"/>
      </w:divBdr>
      <w:divsChild>
        <w:div w:id="1113480996">
          <w:marLeft w:val="1166"/>
          <w:marRight w:val="0"/>
          <w:marTop w:val="96"/>
          <w:marBottom w:val="0"/>
          <w:divBdr>
            <w:top w:val="none" w:sz="0" w:space="0" w:color="auto"/>
            <w:left w:val="none" w:sz="0" w:space="0" w:color="auto"/>
            <w:bottom w:val="none" w:sz="0" w:space="0" w:color="auto"/>
            <w:right w:val="none" w:sz="0" w:space="0" w:color="auto"/>
          </w:divBdr>
        </w:div>
        <w:div w:id="1422065692">
          <w:marLeft w:val="1800"/>
          <w:marRight w:val="0"/>
          <w:marTop w:val="77"/>
          <w:marBottom w:val="0"/>
          <w:divBdr>
            <w:top w:val="none" w:sz="0" w:space="0" w:color="auto"/>
            <w:left w:val="none" w:sz="0" w:space="0" w:color="auto"/>
            <w:bottom w:val="none" w:sz="0" w:space="0" w:color="auto"/>
            <w:right w:val="none" w:sz="0" w:space="0" w:color="auto"/>
          </w:divBdr>
        </w:div>
        <w:div w:id="1975988520">
          <w:marLeft w:val="1800"/>
          <w:marRight w:val="0"/>
          <w:marTop w:val="77"/>
          <w:marBottom w:val="0"/>
          <w:divBdr>
            <w:top w:val="none" w:sz="0" w:space="0" w:color="auto"/>
            <w:left w:val="none" w:sz="0" w:space="0" w:color="auto"/>
            <w:bottom w:val="none" w:sz="0" w:space="0" w:color="auto"/>
            <w:right w:val="none" w:sz="0" w:space="0" w:color="auto"/>
          </w:divBdr>
        </w:div>
        <w:div w:id="1283339791">
          <w:marLeft w:val="1800"/>
          <w:marRight w:val="0"/>
          <w:marTop w:val="77"/>
          <w:marBottom w:val="0"/>
          <w:divBdr>
            <w:top w:val="none" w:sz="0" w:space="0" w:color="auto"/>
            <w:left w:val="none" w:sz="0" w:space="0" w:color="auto"/>
            <w:bottom w:val="none" w:sz="0" w:space="0" w:color="auto"/>
            <w:right w:val="none" w:sz="0" w:space="0" w:color="auto"/>
          </w:divBdr>
        </w:div>
        <w:div w:id="691686325">
          <w:marLeft w:val="1800"/>
          <w:marRight w:val="0"/>
          <w:marTop w:val="77"/>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84F20-381C-4939-932F-D77D68961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1291</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2019-08-14T11:31:00Z</dcterms:created>
  <dcterms:modified xsi:type="dcterms:W3CDTF">2019-10-03T11:33:00Z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